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D6" w:rsidRPr="006B1749" w:rsidRDefault="00BB04D6" w:rsidP="00BB04D6">
      <w:pPr>
        <w:ind w:firstLine="360"/>
        <w:rPr>
          <w:rFonts w:asciiTheme="minorHAnsi" w:hAnsiTheme="minorHAnsi"/>
          <w:bCs/>
          <w:sz w:val="22"/>
        </w:rPr>
      </w:pPr>
    </w:p>
    <w:p w:rsidR="00BB04D6" w:rsidRPr="006B1749" w:rsidRDefault="00BB04D6" w:rsidP="00BB04D6">
      <w:pPr>
        <w:ind w:firstLine="360"/>
        <w:rPr>
          <w:rFonts w:asciiTheme="minorHAnsi" w:hAnsiTheme="minorHAnsi" w:cs="Times New Roman"/>
          <w:bCs/>
          <w:sz w:val="22"/>
        </w:rPr>
      </w:pPr>
    </w:p>
    <w:p w:rsidR="00BB04D6" w:rsidRPr="006B1749" w:rsidRDefault="00BB04D6" w:rsidP="00BB04D6">
      <w:pPr>
        <w:ind w:firstLine="360"/>
        <w:rPr>
          <w:rFonts w:asciiTheme="minorHAnsi" w:hAnsiTheme="minorHAnsi" w:cs="Times New Roman"/>
          <w:bCs/>
          <w:sz w:val="22"/>
        </w:rPr>
      </w:pPr>
    </w:p>
    <w:p w:rsidR="00BB04D6" w:rsidRPr="00334E92" w:rsidRDefault="00B504A1" w:rsidP="00BB04D6">
      <w:pPr>
        <w:ind w:firstLine="360"/>
        <w:jc w:val="right"/>
        <w:rPr>
          <w:rFonts w:ascii="Garamond" w:hAnsi="Garamond" w:cs="Times New Roman"/>
          <w:bCs/>
          <w:i/>
          <w:sz w:val="22"/>
        </w:rPr>
      </w:pPr>
      <w:r w:rsidRPr="00334E92">
        <w:rPr>
          <w:rFonts w:ascii="Garamond" w:hAnsi="Garamond" w:cs="Times New Roman"/>
          <w:bCs/>
          <w:i/>
          <w:sz w:val="22"/>
        </w:rPr>
        <w:t>Miejsce</w:t>
      </w:r>
      <w:r w:rsidR="00BB04D6" w:rsidRPr="00334E92">
        <w:rPr>
          <w:rFonts w:ascii="Garamond" w:hAnsi="Garamond" w:cs="Times New Roman"/>
          <w:bCs/>
          <w:i/>
          <w:sz w:val="22"/>
        </w:rPr>
        <w:t xml:space="preserve">, </w:t>
      </w:r>
      <w:r w:rsidR="00FB4418">
        <w:rPr>
          <w:rFonts w:ascii="Garamond" w:hAnsi="Garamond" w:cs="Times New Roman"/>
          <w:bCs/>
          <w:i/>
          <w:sz w:val="22"/>
        </w:rPr>
        <w:t>data</w:t>
      </w:r>
    </w:p>
    <w:p w:rsidR="00BB04D6" w:rsidRPr="00334E92" w:rsidRDefault="00BB04D6" w:rsidP="00BB04D6">
      <w:pPr>
        <w:ind w:firstLine="360"/>
        <w:rPr>
          <w:rFonts w:ascii="Garamond" w:hAnsi="Garamond" w:cs="Times New Roman"/>
          <w:bCs/>
          <w:i/>
          <w:sz w:val="22"/>
        </w:rPr>
      </w:pPr>
    </w:p>
    <w:p w:rsidR="00B504A1" w:rsidRPr="00334E92" w:rsidRDefault="00746546" w:rsidP="00217998">
      <w:pPr>
        <w:pStyle w:val="NormalnyWeb"/>
        <w:rPr>
          <w:rFonts w:ascii="Garamond" w:eastAsia="Calibri" w:hAnsi="Garamond"/>
          <w:bCs/>
          <w:i/>
          <w:sz w:val="22"/>
          <w:szCs w:val="22"/>
        </w:rPr>
      </w:pPr>
      <w:r>
        <w:rPr>
          <w:rStyle w:val="Pogrubienie"/>
          <w:rFonts w:ascii="Garamond" w:eastAsia="Calibri" w:hAnsi="Garamond"/>
          <w:b w:val="0"/>
          <w:i/>
          <w:sz w:val="22"/>
          <w:szCs w:val="22"/>
        </w:rPr>
        <w:t>nazwa i adres wnioskodawcy</w:t>
      </w:r>
    </w:p>
    <w:p w:rsidR="00C423D0" w:rsidRPr="00334E92" w:rsidRDefault="00C423D0" w:rsidP="00BB04D6">
      <w:pPr>
        <w:ind w:firstLine="360"/>
        <w:rPr>
          <w:rFonts w:ascii="Garamond" w:hAnsi="Garamond" w:cs="Times New Roman"/>
          <w:bCs/>
          <w:i/>
          <w:sz w:val="22"/>
        </w:rPr>
      </w:pPr>
    </w:p>
    <w:p w:rsidR="00B504A1" w:rsidRPr="00334E92" w:rsidRDefault="00B504A1" w:rsidP="00BB04D6">
      <w:pPr>
        <w:ind w:firstLine="360"/>
        <w:rPr>
          <w:rFonts w:ascii="Garamond" w:hAnsi="Garamond" w:cs="Times New Roman"/>
          <w:bCs/>
          <w:i/>
          <w:sz w:val="22"/>
        </w:rPr>
      </w:pPr>
    </w:p>
    <w:p w:rsidR="00B504A1" w:rsidRPr="00334E92" w:rsidRDefault="00746546" w:rsidP="008B52A1">
      <w:pPr>
        <w:jc w:val="right"/>
        <w:rPr>
          <w:rFonts w:ascii="Garamond" w:eastAsia="Times New Roman" w:hAnsi="Garamond" w:cs="Times New Roman"/>
          <w:i/>
          <w:color w:val="000000"/>
          <w:sz w:val="22"/>
          <w:lang w:eastAsia="pl-PL"/>
        </w:rPr>
      </w:pPr>
      <w:r>
        <w:rPr>
          <w:rFonts w:ascii="Garamond" w:eastAsia="Times New Roman" w:hAnsi="Garamond" w:cs="Times New Roman"/>
          <w:i/>
          <w:color w:val="000000"/>
          <w:sz w:val="22"/>
          <w:lang w:eastAsia="pl-PL"/>
        </w:rPr>
        <w:t>nazwa i adres organu</w:t>
      </w:r>
    </w:p>
    <w:p w:rsidR="008B52A1" w:rsidRPr="006B1749" w:rsidRDefault="008B52A1" w:rsidP="008B52A1">
      <w:pPr>
        <w:rPr>
          <w:rFonts w:asciiTheme="minorHAnsi" w:eastAsia="Times New Roman" w:hAnsiTheme="minorHAnsi" w:cs="Times New Roman"/>
          <w:color w:val="000000"/>
          <w:sz w:val="22"/>
          <w:lang w:eastAsia="pl-PL"/>
        </w:rPr>
      </w:pPr>
    </w:p>
    <w:p w:rsidR="00C423D0" w:rsidRDefault="00C423D0" w:rsidP="00BB04D6">
      <w:pPr>
        <w:ind w:firstLine="360"/>
        <w:rPr>
          <w:rFonts w:asciiTheme="minorHAnsi" w:hAnsiTheme="minorHAnsi" w:cs="Times New Roman"/>
          <w:sz w:val="22"/>
        </w:rPr>
      </w:pPr>
    </w:p>
    <w:p w:rsidR="00B504A1" w:rsidRPr="006B1749" w:rsidRDefault="00B504A1" w:rsidP="00BB04D6">
      <w:pPr>
        <w:ind w:firstLine="360"/>
        <w:rPr>
          <w:rFonts w:asciiTheme="minorHAnsi" w:hAnsiTheme="minorHAnsi" w:cs="Times New Roman"/>
          <w:sz w:val="22"/>
        </w:rPr>
      </w:pPr>
    </w:p>
    <w:p w:rsidR="00BB04D6" w:rsidRPr="006B1749" w:rsidRDefault="00BB04D6" w:rsidP="00BB04D6">
      <w:pPr>
        <w:ind w:firstLine="360"/>
        <w:jc w:val="center"/>
        <w:rPr>
          <w:rFonts w:asciiTheme="minorHAnsi" w:hAnsiTheme="minorHAnsi" w:cs="Times New Roman"/>
          <w:b/>
          <w:sz w:val="22"/>
        </w:rPr>
      </w:pPr>
      <w:r w:rsidRPr="006B1749">
        <w:rPr>
          <w:rFonts w:asciiTheme="minorHAnsi" w:hAnsiTheme="minorHAnsi" w:cs="Times New Roman"/>
          <w:b/>
          <w:sz w:val="22"/>
        </w:rPr>
        <w:t>WNIOSEK</w:t>
      </w:r>
    </w:p>
    <w:p w:rsidR="00BB04D6" w:rsidRPr="006B1749" w:rsidRDefault="00BB04D6" w:rsidP="00BB04D6">
      <w:pPr>
        <w:ind w:firstLine="360"/>
        <w:jc w:val="center"/>
        <w:rPr>
          <w:rFonts w:asciiTheme="minorHAnsi" w:hAnsiTheme="minorHAnsi" w:cs="Times New Roman"/>
          <w:sz w:val="22"/>
        </w:rPr>
      </w:pPr>
      <w:r w:rsidRPr="006B1749">
        <w:rPr>
          <w:rFonts w:asciiTheme="minorHAnsi" w:hAnsiTheme="minorHAnsi" w:cs="Times New Roman"/>
          <w:sz w:val="22"/>
        </w:rPr>
        <w:t>o udostępnienie informacji o środowisku</w:t>
      </w:r>
    </w:p>
    <w:p w:rsidR="00BB04D6" w:rsidRPr="006B1749" w:rsidRDefault="00BB04D6" w:rsidP="00BB04D6">
      <w:pPr>
        <w:ind w:firstLine="360"/>
        <w:rPr>
          <w:rFonts w:asciiTheme="minorHAnsi" w:hAnsiTheme="minorHAnsi" w:cs="Times New Roman"/>
          <w:sz w:val="22"/>
        </w:rPr>
      </w:pPr>
    </w:p>
    <w:p w:rsidR="00E95F2F" w:rsidRPr="006B1749" w:rsidRDefault="00BB04D6" w:rsidP="00E95F2F">
      <w:pPr>
        <w:pStyle w:val="Tekstprzypisudolnego"/>
        <w:spacing w:line="276" w:lineRule="auto"/>
        <w:jc w:val="both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Na podstawie art. 8, art. 9</w:t>
      </w:r>
      <w:r w:rsidR="00C423D0" w:rsidRPr="006B1749">
        <w:rPr>
          <w:rFonts w:asciiTheme="minorHAnsi" w:hAnsiTheme="minorHAnsi"/>
          <w:sz w:val="22"/>
        </w:rPr>
        <w:t>, zwłaszcza</w:t>
      </w:r>
      <w:r w:rsidRPr="006B1749">
        <w:rPr>
          <w:rFonts w:asciiTheme="minorHAnsi" w:hAnsiTheme="minorHAnsi"/>
          <w:sz w:val="22"/>
        </w:rPr>
        <w:t xml:space="preserve"> ust. 1</w:t>
      </w:r>
      <w:r w:rsidR="00230E5F" w:rsidRPr="006B1749">
        <w:rPr>
          <w:rFonts w:asciiTheme="minorHAnsi" w:hAnsiTheme="minorHAnsi"/>
          <w:sz w:val="22"/>
        </w:rPr>
        <w:t xml:space="preserve"> pkt 3 </w:t>
      </w:r>
      <w:r w:rsidR="00C423D0" w:rsidRPr="006B1749">
        <w:rPr>
          <w:rFonts w:asciiTheme="minorHAnsi" w:hAnsiTheme="minorHAnsi"/>
          <w:sz w:val="22"/>
        </w:rPr>
        <w:t xml:space="preserve">i 5 </w:t>
      </w:r>
      <w:r w:rsidR="00230E5F" w:rsidRPr="006B1749">
        <w:rPr>
          <w:rFonts w:asciiTheme="minorHAnsi" w:hAnsiTheme="minorHAnsi"/>
          <w:sz w:val="22"/>
        </w:rPr>
        <w:t>oraz</w:t>
      </w:r>
      <w:r w:rsidRPr="006B1749">
        <w:rPr>
          <w:rFonts w:asciiTheme="minorHAnsi" w:hAnsiTheme="minorHAnsi"/>
          <w:sz w:val="22"/>
        </w:rPr>
        <w:t xml:space="preserve"> art. 1</w:t>
      </w:r>
      <w:r w:rsidR="00C6052F" w:rsidRPr="006B1749">
        <w:rPr>
          <w:rFonts w:asciiTheme="minorHAnsi" w:hAnsiTheme="minorHAnsi"/>
          <w:sz w:val="22"/>
        </w:rPr>
        <w:t>14</w:t>
      </w:r>
      <w:r w:rsidRPr="006B1749">
        <w:rPr>
          <w:rFonts w:asciiTheme="minorHAnsi" w:hAnsiTheme="minorHAnsi"/>
          <w:sz w:val="22"/>
        </w:rPr>
        <w:t>2 ust. 1 ustawy z dnia 3 października 2008 r. o udostępnianiu informacji o środowisku i jego ochronie, udziale społeczeństwa w ochronie środowiska oraz o ocenach oddziaływania na środowisko (</w:t>
      </w:r>
      <w:r w:rsidR="00E95F2F" w:rsidRPr="006B1749">
        <w:rPr>
          <w:rFonts w:asciiTheme="minorHAnsi" w:hAnsiTheme="minorHAnsi"/>
          <w:sz w:val="22"/>
        </w:rPr>
        <w:t>tekst jedn.: Dz. U. z 2013 r., poz. 1235 ze zm.</w:t>
      </w:r>
      <w:r w:rsidRPr="006B1749">
        <w:rPr>
          <w:rFonts w:asciiTheme="minorHAnsi" w:hAnsiTheme="minorHAnsi"/>
          <w:sz w:val="22"/>
        </w:rPr>
        <w:t>), proszę o udostępnienie</w:t>
      </w:r>
      <w:r w:rsidR="00E95F2F" w:rsidRPr="006B1749">
        <w:rPr>
          <w:rFonts w:asciiTheme="minorHAnsi" w:hAnsiTheme="minorHAnsi"/>
          <w:sz w:val="22"/>
        </w:rPr>
        <w:t>:</w:t>
      </w:r>
    </w:p>
    <w:p w:rsidR="00E95F2F" w:rsidRPr="006B1749" w:rsidRDefault="00E95F2F" w:rsidP="00E95F2F">
      <w:pPr>
        <w:pStyle w:val="Tekstprzypisudolnego"/>
        <w:spacing w:line="276" w:lineRule="auto"/>
        <w:jc w:val="both"/>
        <w:rPr>
          <w:rFonts w:asciiTheme="minorHAnsi" w:hAnsiTheme="minorHAnsi"/>
          <w:sz w:val="22"/>
        </w:rPr>
      </w:pPr>
    </w:p>
    <w:p w:rsidR="00EA47EF" w:rsidRPr="00B504A1" w:rsidRDefault="00EA47EF" w:rsidP="00EA47EF">
      <w:pPr>
        <w:pStyle w:val="Akapitzlist"/>
        <w:numPr>
          <w:ilvl w:val="0"/>
          <w:numId w:val="3"/>
        </w:numPr>
        <w:ind w:left="426"/>
        <w:rPr>
          <w:rFonts w:ascii="Garamond" w:eastAsia="Times New Roman" w:hAnsi="Garamond" w:cs="Times New Roman"/>
          <w:i/>
          <w:color w:val="000000"/>
          <w:sz w:val="22"/>
          <w:lang w:eastAsia="pl-PL"/>
        </w:rPr>
      </w:pPr>
      <w:r w:rsidRPr="00B504A1">
        <w:rPr>
          <w:rFonts w:asciiTheme="minorHAnsi" w:hAnsiTheme="minorHAnsi"/>
          <w:sz w:val="22"/>
        </w:rPr>
        <w:t xml:space="preserve">kopii </w:t>
      </w:r>
      <w:r w:rsidRPr="00B504A1">
        <w:rPr>
          <w:rFonts w:asciiTheme="minorHAnsi" w:hAnsiTheme="minorHAnsi"/>
          <w:b/>
          <w:sz w:val="22"/>
        </w:rPr>
        <w:t>decyzji zezwalających na usunięcie drzew</w:t>
      </w:r>
      <w:r w:rsidRPr="00B504A1">
        <w:rPr>
          <w:rFonts w:asciiTheme="minorHAnsi" w:hAnsiTheme="minorHAnsi"/>
          <w:sz w:val="22"/>
        </w:rPr>
        <w:t xml:space="preserve"> lub decyzji odmawiających takiego zezwolenia, wydanych na podstawie ustawy o ochronie przyrody, o znakach sprawy</w:t>
      </w:r>
      <w:r w:rsidR="00B504A1">
        <w:rPr>
          <w:rFonts w:asciiTheme="minorHAnsi" w:hAnsiTheme="minorHAnsi"/>
          <w:sz w:val="22"/>
        </w:rPr>
        <w:t xml:space="preserve"> </w:t>
      </w:r>
      <w:r w:rsidR="00B504A1" w:rsidRPr="00B504A1">
        <w:rPr>
          <w:rFonts w:ascii="Garamond" w:hAnsi="Garamond"/>
          <w:sz w:val="22"/>
        </w:rPr>
        <w:t>(</w:t>
      </w:r>
      <w:r w:rsidR="00334E92">
        <w:rPr>
          <w:rFonts w:ascii="Garamond" w:hAnsi="Garamond"/>
          <w:sz w:val="22"/>
        </w:rPr>
        <w:t xml:space="preserve">UWAGA PRAKTYCZNA: </w:t>
      </w:r>
      <w:r w:rsidR="00B504A1" w:rsidRPr="00B504A1">
        <w:rPr>
          <w:rFonts w:ascii="Garamond" w:hAnsi="Garamond"/>
          <w:i/>
          <w:sz w:val="22"/>
        </w:rPr>
        <w:t>znaki sprawy można sprawdzić w publicznie dostępnych wykazach informacji o środowisku, jeśli organ takowe prowadzi, jeśli nie dysponujemy znakiem sprawy lub numerem decyzji należy podać dokładną lokalizację drzewa, o które pytamy)</w:t>
      </w:r>
      <w:r w:rsidRPr="00B504A1">
        <w:rPr>
          <w:rFonts w:ascii="Garamond" w:hAnsi="Garamond"/>
          <w:i/>
          <w:sz w:val="22"/>
        </w:rPr>
        <w:t xml:space="preserve">: </w:t>
      </w:r>
    </w:p>
    <w:p w:rsidR="00B504A1" w:rsidRPr="00B504A1" w:rsidRDefault="00B504A1" w:rsidP="00B504A1">
      <w:pPr>
        <w:pStyle w:val="Akapitzlist"/>
        <w:ind w:left="426"/>
        <w:rPr>
          <w:rFonts w:ascii="Garamond" w:eastAsia="Times New Roman" w:hAnsi="Garamond" w:cs="Times New Roman"/>
          <w:color w:val="000000"/>
          <w:sz w:val="22"/>
          <w:lang w:eastAsia="pl-PL"/>
        </w:rPr>
      </w:pPr>
    </w:p>
    <w:p w:rsidR="00FC403D" w:rsidRPr="00E87CDD" w:rsidRDefault="00D21D70" w:rsidP="00662DD4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  <w:sz w:val="22"/>
        </w:rPr>
      </w:pPr>
      <w:r w:rsidRPr="00E87CDD">
        <w:rPr>
          <w:rFonts w:asciiTheme="minorHAnsi" w:hAnsiTheme="minorHAnsi"/>
          <w:sz w:val="22"/>
        </w:rPr>
        <w:t xml:space="preserve">kopii </w:t>
      </w:r>
      <w:r w:rsidR="00E95F2F" w:rsidRPr="00E87CDD">
        <w:rPr>
          <w:rFonts w:asciiTheme="minorHAnsi" w:hAnsiTheme="minorHAnsi"/>
          <w:b/>
          <w:sz w:val="22"/>
        </w:rPr>
        <w:t xml:space="preserve">wniosków </w:t>
      </w:r>
      <w:r w:rsidR="00240318" w:rsidRPr="00E87CDD">
        <w:rPr>
          <w:rFonts w:asciiTheme="minorHAnsi" w:hAnsiTheme="minorHAnsi"/>
          <w:b/>
          <w:sz w:val="22"/>
        </w:rPr>
        <w:t>o wydanie zezwoleń na usunięcie drzew</w:t>
      </w:r>
      <w:r w:rsidR="00240318" w:rsidRPr="00E87CDD">
        <w:rPr>
          <w:rFonts w:asciiTheme="minorHAnsi" w:hAnsiTheme="minorHAnsi"/>
          <w:sz w:val="22"/>
        </w:rPr>
        <w:t xml:space="preserve"> </w:t>
      </w:r>
      <w:r w:rsidR="00E95F2F" w:rsidRPr="00E87CDD">
        <w:rPr>
          <w:rFonts w:asciiTheme="minorHAnsi" w:hAnsiTheme="minorHAnsi"/>
          <w:sz w:val="22"/>
        </w:rPr>
        <w:t xml:space="preserve">złożonych do </w:t>
      </w:r>
      <w:r w:rsidR="008B52A1" w:rsidRPr="00E87CDD">
        <w:rPr>
          <w:rFonts w:asciiTheme="minorHAnsi" w:hAnsiTheme="minorHAnsi"/>
          <w:sz w:val="22"/>
        </w:rPr>
        <w:t xml:space="preserve">Urzędu </w:t>
      </w:r>
      <w:r w:rsidR="00B504A1" w:rsidRPr="00B504A1">
        <w:rPr>
          <w:rFonts w:ascii="Garamond" w:hAnsi="Garamond"/>
          <w:i/>
          <w:sz w:val="22"/>
        </w:rPr>
        <w:t>(nazwa urzędu)</w:t>
      </w:r>
      <w:r w:rsidR="00C6052F" w:rsidRPr="00E87CDD">
        <w:rPr>
          <w:rFonts w:asciiTheme="minorHAnsi" w:hAnsiTheme="minorHAnsi"/>
          <w:sz w:val="22"/>
        </w:rPr>
        <w:t xml:space="preserve"> </w:t>
      </w:r>
      <w:r w:rsidR="00405078" w:rsidRPr="00E87CDD">
        <w:rPr>
          <w:rFonts w:asciiTheme="minorHAnsi" w:hAnsiTheme="minorHAnsi"/>
          <w:sz w:val="22"/>
        </w:rPr>
        <w:t>do</w:t>
      </w:r>
      <w:r w:rsidR="00EA47EF" w:rsidRPr="00E87CDD">
        <w:rPr>
          <w:rFonts w:asciiTheme="minorHAnsi" w:hAnsiTheme="minorHAnsi"/>
          <w:sz w:val="22"/>
        </w:rPr>
        <w:t xml:space="preserve"> wskazan</w:t>
      </w:r>
      <w:r w:rsidR="00405078" w:rsidRPr="00E87CDD">
        <w:rPr>
          <w:rFonts w:asciiTheme="minorHAnsi" w:hAnsiTheme="minorHAnsi"/>
          <w:sz w:val="22"/>
        </w:rPr>
        <w:t>ych</w:t>
      </w:r>
      <w:r w:rsidR="00EA47EF" w:rsidRPr="00E87CDD">
        <w:rPr>
          <w:rFonts w:asciiTheme="minorHAnsi" w:hAnsiTheme="minorHAnsi"/>
          <w:sz w:val="22"/>
        </w:rPr>
        <w:t xml:space="preserve"> </w:t>
      </w:r>
      <w:r w:rsidR="00405078" w:rsidRPr="00E87CDD">
        <w:rPr>
          <w:rFonts w:asciiTheme="minorHAnsi" w:hAnsiTheme="minorHAnsi"/>
          <w:sz w:val="22"/>
        </w:rPr>
        <w:t>powyżej decyzji</w:t>
      </w:r>
      <w:r w:rsidR="00EA47EF" w:rsidRPr="00E87CDD">
        <w:rPr>
          <w:rFonts w:asciiTheme="minorHAnsi" w:hAnsiTheme="minorHAnsi"/>
          <w:sz w:val="22"/>
        </w:rPr>
        <w:t>.</w:t>
      </w:r>
    </w:p>
    <w:p w:rsidR="00A64122" w:rsidRPr="006B1749" w:rsidRDefault="00A64122" w:rsidP="00E95F2F">
      <w:pPr>
        <w:pStyle w:val="Tekstprzypisudolnego"/>
        <w:spacing w:line="276" w:lineRule="auto"/>
        <w:jc w:val="both"/>
        <w:rPr>
          <w:rFonts w:asciiTheme="minorHAnsi" w:hAnsiTheme="minorHAnsi"/>
          <w:sz w:val="22"/>
        </w:rPr>
      </w:pPr>
    </w:p>
    <w:p w:rsidR="006C620E" w:rsidRPr="006B1749" w:rsidRDefault="00D21D70" w:rsidP="00405078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kopii dokumentów </w:t>
      </w:r>
      <w:r w:rsidR="00A64122" w:rsidRPr="006B1749">
        <w:rPr>
          <w:rFonts w:asciiTheme="minorHAnsi" w:hAnsiTheme="minorHAnsi"/>
          <w:sz w:val="22"/>
        </w:rPr>
        <w:t xml:space="preserve">i informacji znajdujących się w aktach postępowań wszczętych na podstawie wniosków, o których mowa w pkt </w:t>
      </w:r>
      <w:r w:rsidR="00405078" w:rsidRPr="006B1749">
        <w:rPr>
          <w:rFonts w:asciiTheme="minorHAnsi" w:hAnsiTheme="minorHAnsi"/>
          <w:sz w:val="22"/>
        </w:rPr>
        <w:t>b</w:t>
      </w:r>
      <w:r w:rsidR="00A64122" w:rsidRPr="006B1749">
        <w:rPr>
          <w:rFonts w:asciiTheme="minorHAnsi" w:hAnsiTheme="minorHAnsi"/>
          <w:sz w:val="22"/>
        </w:rPr>
        <w:t xml:space="preserve">) powyżej i zakończonych decyzjami, o których mowa w pkt </w:t>
      </w:r>
      <w:r w:rsidR="00405078" w:rsidRPr="006B1749">
        <w:rPr>
          <w:rFonts w:asciiTheme="minorHAnsi" w:hAnsiTheme="minorHAnsi"/>
          <w:sz w:val="22"/>
        </w:rPr>
        <w:t>a</w:t>
      </w:r>
      <w:r w:rsidR="00A64122" w:rsidRPr="006B1749">
        <w:rPr>
          <w:rFonts w:asciiTheme="minorHAnsi" w:hAnsiTheme="minorHAnsi"/>
          <w:sz w:val="22"/>
        </w:rPr>
        <w:t>) po</w:t>
      </w:r>
      <w:r w:rsidR="00405078" w:rsidRPr="006B1749">
        <w:rPr>
          <w:rFonts w:asciiTheme="minorHAnsi" w:hAnsiTheme="minorHAnsi"/>
          <w:sz w:val="22"/>
        </w:rPr>
        <w:t>wyżej</w:t>
      </w:r>
      <w:r w:rsidR="00A64122" w:rsidRPr="006B1749">
        <w:rPr>
          <w:rFonts w:asciiTheme="minorHAnsi" w:hAnsiTheme="minorHAnsi"/>
          <w:sz w:val="22"/>
        </w:rPr>
        <w:t>, takich jak np.: notatki lub protokoły z wizji lokalnej przeprowadzonej przed wydaniem zezwolenia, ekspertyzy przyrodnicze</w:t>
      </w:r>
      <w:r w:rsidR="00405078" w:rsidRPr="006B1749">
        <w:rPr>
          <w:rFonts w:asciiTheme="minorHAnsi" w:hAnsiTheme="minorHAnsi"/>
          <w:sz w:val="22"/>
        </w:rPr>
        <w:t xml:space="preserve">, ekspertyzy dendrologiczne dotyczące stanu zdrowotnego drzewa, </w:t>
      </w:r>
      <w:r w:rsidR="00A64122" w:rsidRPr="006B1749">
        <w:rPr>
          <w:rFonts w:asciiTheme="minorHAnsi" w:hAnsiTheme="minorHAnsi"/>
          <w:sz w:val="22"/>
        </w:rPr>
        <w:t xml:space="preserve"> lub inne służące do podjęcia decyzji, inne dokumenty wykorzystane przez organ jako materiał dowodowy przed wydaniem decyzji</w:t>
      </w:r>
      <w:r w:rsidR="00405078" w:rsidRPr="006B1749">
        <w:rPr>
          <w:rFonts w:asciiTheme="minorHAnsi" w:hAnsiTheme="minorHAnsi"/>
          <w:sz w:val="22"/>
        </w:rPr>
        <w:t>.</w:t>
      </w:r>
    </w:p>
    <w:p w:rsidR="005E5A5B" w:rsidRPr="006B1749" w:rsidRDefault="005E5A5B" w:rsidP="00E95F2F">
      <w:pPr>
        <w:pStyle w:val="Tekstprzypisudolnego"/>
        <w:spacing w:line="276" w:lineRule="auto"/>
        <w:jc w:val="both"/>
        <w:rPr>
          <w:rFonts w:asciiTheme="minorHAnsi" w:hAnsiTheme="minorHAnsi"/>
          <w:sz w:val="22"/>
        </w:rPr>
      </w:pPr>
    </w:p>
    <w:p w:rsidR="00A64122" w:rsidRPr="006B1749" w:rsidRDefault="00A64122" w:rsidP="00E95F2F">
      <w:pPr>
        <w:pStyle w:val="Tekstprzypisudolnego"/>
        <w:spacing w:line="276" w:lineRule="auto"/>
        <w:jc w:val="both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ab/>
        <w:t xml:space="preserve">- ewentualnie informacji, że w aktach danej sprawy nie znajdują się żadne </w:t>
      </w:r>
      <w:r w:rsidR="00405078" w:rsidRPr="006B1749">
        <w:rPr>
          <w:rFonts w:asciiTheme="minorHAnsi" w:hAnsiTheme="minorHAnsi"/>
          <w:sz w:val="22"/>
        </w:rPr>
        <w:t>dokumenty ani materiały dowodowe</w:t>
      </w:r>
      <w:r w:rsidR="00E20320" w:rsidRPr="006B1749">
        <w:rPr>
          <w:rFonts w:asciiTheme="minorHAnsi" w:hAnsiTheme="minorHAnsi"/>
          <w:sz w:val="22"/>
        </w:rPr>
        <w:t xml:space="preserve"> takiego typu jak wymienione w pkt c)</w:t>
      </w:r>
      <w:r w:rsidR="00405078" w:rsidRPr="006B1749">
        <w:rPr>
          <w:rFonts w:asciiTheme="minorHAnsi" w:hAnsiTheme="minorHAnsi"/>
          <w:sz w:val="22"/>
        </w:rPr>
        <w:t>.</w:t>
      </w:r>
    </w:p>
    <w:p w:rsidR="00E95F2F" w:rsidRPr="006B1749" w:rsidRDefault="00E95F2F" w:rsidP="00E95F2F">
      <w:pPr>
        <w:pStyle w:val="Tekstprzypisudolnego"/>
        <w:spacing w:line="276" w:lineRule="auto"/>
        <w:jc w:val="both"/>
        <w:rPr>
          <w:rFonts w:asciiTheme="minorHAnsi" w:hAnsiTheme="minorHAnsi"/>
          <w:sz w:val="22"/>
        </w:rPr>
      </w:pPr>
    </w:p>
    <w:p w:rsidR="006C620E" w:rsidRPr="00334E92" w:rsidRDefault="00BB04D6" w:rsidP="006B1749">
      <w:pPr>
        <w:spacing w:line="276" w:lineRule="auto"/>
        <w:ind w:firstLine="360"/>
        <w:rPr>
          <w:rFonts w:ascii="Garamond" w:hAnsi="Garamond" w:cs="Times New Roman"/>
          <w:i/>
          <w:sz w:val="22"/>
        </w:rPr>
      </w:pPr>
      <w:r w:rsidRPr="006B1749">
        <w:rPr>
          <w:rFonts w:asciiTheme="minorHAnsi" w:hAnsiTheme="minorHAnsi" w:cs="Times New Roman"/>
          <w:sz w:val="22"/>
        </w:rPr>
        <w:t xml:space="preserve">Na podstawie art. 15 ust. 1 ww. ustawy wnioskuję o udostępnienie ww. informacji w formie </w:t>
      </w:r>
      <w:r w:rsidR="00B504A1">
        <w:rPr>
          <w:rFonts w:asciiTheme="minorHAnsi" w:hAnsiTheme="minorHAnsi" w:cs="Times New Roman"/>
          <w:sz w:val="22"/>
        </w:rPr>
        <w:t xml:space="preserve">…. </w:t>
      </w:r>
      <w:r w:rsidR="00B504A1" w:rsidRPr="00334E92">
        <w:rPr>
          <w:rFonts w:ascii="Garamond" w:hAnsi="Garamond" w:cs="Times New Roman"/>
          <w:i/>
          <w:sz w:val="22"/>
        </w:rPr>
        <w:t>(</w:t>
      </w:r>
      <w:r w:rsidR="00334E92">
        <w:rPr>
          <w:rFonts w:ascii="Garamond" w:hAnsi="Garamond" w:cs="Times New Roman"/>
          <w:i/>
          <w:sz w:val="22"/>
        </w:rPr>
        <w:t xml:space="preserve">UWAGA PRAKTYCZNA: </w:t>
      </w:r>
      <w:r w:rsidR="00B504A1" w:rsidRPr="00334E92">
        <w:rPr>
          <w:rFonts w:ascii="Garamond" w:hAnsi="Garamond" w:cs="Times New Roman"/>
          <w:i/>
          <w:sz w:val="22"/>
        </w:rPr>
        <w:t xml:space="preserve">należy podać formę, np. „w </w:t>
      </w:r>
      <w:proofErr w:type="spellStart"/>
      <w:r w:rsidR="00B504A1" w:rsidRPr="00334E92">
        <w:rPr>
          <w:rFonts w:ascii="Garamond" w:hAnsi="Garamond" w:cs="Times New Roman"/>
          <w:i/>
          <w:sz w:val="22"/>
        </w:rPr>
        <w:t>formir</w:t>
      </w:r>
      <w:proofErr w:type="spellEnd"/>
      <w:r w:rsidR="00B504A1" w:rsidRPr="00334E92">
        <w:rPr>
          <w:rFonts w:ascii="Garamond" w:hAnsi="Garamond" w:cs="Times New Roman"/>
          <w:i/>
          <w:sz w:val="22"/>
        </w:rPr>
        <w:t xml:space="preserve"> </w:t>
      </w:r>
      <w:r w:rsidR="00662DD4" w:rsidRPr="00334E92">
        <w:rPr>
          <w:rFonts w:ascii="Garamond" w:hAnsi="Garamond" w:cs="Times New Roman"/>
          <w:i/>
          <w:sz w:val="22"/>
        </w:rPr>
        <w:t>elektronicznej</w:t>
      </w:r>
      <w:r w:rsidR="0041220B" w:rsidRPr="00334E92">
        <w:rPr>
          <w:rFonts w:ascii="Garamond" w:hAnsi="Garamond" w:cs="Times New Roman"/>
          <w:i/>
          <w:sz w:val="22"/>
        </w:rPr>
        <w:t xml:space="preserve"> </w:t>
      </w:r>
      <w:r w:rsidR="005E5A5B" w:rsidRPr="00334E92">
        <w:rPr>
          <w:rFonts w:ascii="Garamond" w:hAnsi="Garamond" w:cs="Times New Roman"/>
          <w:i/>
          <w:sz w:val="22"/>
        </w:rPr>
        <w:t>w postaci plik</w:t>
      </w:r>
      <w:r w:rsidR="00E87CDD" w:rsidRPr="00334E92">
        <w:rPr>
          <w:rFonts w:ascii="Garamond" w:hAnsi="Garamond" w:cs="Times New Roman"/>
          <w:i/>
          <w:sz w:val="22"/>
        </w:rPr>
        <w:t>ów</w:t>
      </w:r>
      <w:r w:rsidR="005E5A5B" w:rsidRPr="00334E92">
        <w:rPr>
          <w:rFonts w:ascii="Garamond" w:hAnsi="Garamond" w:cs="Times New Roman"/>
          <w:i/>
          <w:sz w:val="22"/>
        </w:rPr>
        <w:t xml:space="preserve"> PDF </w:t>
      </w:r>
      <w:r w:rsidR="0041220B" w:rsidRPr="00334E92">
        <w:rPr>
          <w:rFonts w:ascii="Garamond" w:hAnsi="Garamond" w:cs="Times New Roman"/>
          <w:i/>
          <w:sz w:val="22"/>
        </w:rPr>
        <w:t xml:space="preserve">na adres e-mail: </w:t>
      </w:r>
      <w:r w:rsidR="00B504A1" w:rsidRPr="00334E92">
        <w:rPr>
          <w:rFonts w:ascii="Garamond" w:hAnsi="Garamond" w:cs="Times New Roman"/>
          <w:i/>
          <w:sz w:val="22"/>
        </w:rPr>
        <w:t>……</w:t>
      </w:r>
      <w:r w:rsidR="005E5A5B" w:rsidRPr="00334E92">
        <w:rPr>
          <w:rFonts w:ascii="Garamond" w:hAnsi="Garamond" w:cs="Times New Roman"/>
          <w:i/>
          <w:sz w:val="22"/>
        </w:rPr>
        <w:t xml:space="preserve"> </w:t>
      </w:r>
      <w:r w:rsidR="00B504A1" w:rsidRPr="00334E92">
        <w:rPr>
          <w:rFonts w:ascii="Garamond" w:hAnsi="Garamond" w:cs="Times New Roman"/>
          <w:i/>
          <w:sz w:val="22"/>
        </w:rPr>
        <w:t xml:space="preserve">- </w:t>
      </w:r>
      <w:proofErr w:type="spellStart"/>
      <w:r w:rsidR="00B504A1" w:rsidRPr="00334E92">
        <w:rPr>
          <w:rFonts w:ascii="Garamond" w:hAnsi="Garamond" w:cs="Times New Roman"/>
          <w:i/>
          <w:sz w:val="22"/>
        </w:rPr>
        <w:t>skan</w:t>
      </w:r>
      <w:proofErr w:type="spellEnd"/>
      <w:r w:rsidR="00B504A1" w:rsidRPr="00334E92">
        <w:rPr>
          <w:rFonts w:ascii="Garamond" w:hAnsi="Garamond" w:cs="Times New Roman"/>
          <w:i/>
          <w:sz w:val="22"/>
        </w:rPr>
        <w:t xml:space="preserve"> jednego całego dokumentu do jednego pliku”. Generalnie im bardziej precyzyjnie określimy w jako sposób chcemy otrzymać informację tym lepiej dla nas, może się zdarzyć np. że otrzymamy </w:t>
      </w:r>
      <w:proofErr w:type="spellStart"/>
      <w:r w:rsidR="00B504A1" w:rsidRPr="00334E92">
        <w:rPr>
          <w:rFonts w:ascii="Garamond" w:hAnsi="Garamond" w:cs="Times New Roman"/>
          <w:i/>
          <w:sz w:val="22"/>
        </w:rPr>
        <w:t>skany</w:t>
      </w:r>
      <w:proofErr w:type="spellEnd"/>
      <w:r w:rsidR="00B504A1" w:rsidRPr="00334E92">
        <w:rPr>
          <w:rFonts w:ascii="Garamond" w:hAnsi="Garamond" w:cs="Times New Roman"/>
          <w:i/>
          <w:sz w:val="22"/>
        </w:rPr>
        <w:t xml:space="preserve"> </w:t>
      </w:r>
      <w:r w:rsidR="00334E92" w:rsidRPr="00334E92">
        <w:rPr>
          <w:rFonts w:ascii="Garamond" w:hAnsi="Garamond" w:cs="Times New Roman"/>
          <w:i/>
          <w:sz w:val="22"/>
        </w:rPr>
        <w:t>każdej strony w oddzielnym piku co przy większej liczbie danych sprawi nam kłopot</w:t>
      </w:r>
      <w:r w:rsidR="00B504A1" w:rsidRPr="00334E92">
        <w:rPr>
          <w:rFonts w:ascii="Garamond" w:hAnsi="Garamond" w:cs="Times New Roman"/>
          <w:i/>
          <w:sz w:val="22"/>
        </w:rPr>
        <w:t>)</w:t>
      </w:r>
    </w:p>
    <w:p w:rsidR="00B504A1" w:rsidRDefault="00B504A1" w:rsidP="006B1749">
      <w:pPr>
        <w:spacing w:line="276" w:lineRule="auto"/>
        <w:ind w:firstLine="360"/>
        <w:rPr>
          <w:rFonts w:asciiTheme="minorHAnsi" w:hAnsiTheme="minorHAnsi" w:cs="Times New Roman"/>
          <w:sz w:val="22"/>
        </w:rPr>
      </w:pPr>
    </w:p>
    <w:p w:rsidR="00B504A1" w:rsidRDefault="00B504A1" w:rsidP="006B1749">
      <w:pPr>
        <w:spacing w:line="276" w:lineRule="auto"/>
        <w:ind w:firstLine="360"/>
        <w:rPr>
          <w:rFonts w:asciiTheme="minorHAnsi" w:hAnsiTheme="minorHAnsi" w:cs="Times New Roman"/>
          <w:sz w:val="22"/>
        </w:rPr>
      </w:pPr>
    </w:p>
    <w:p w:rsidR="00746546" w:rsidRDefault="00746546" w:rsidP="006B1749">
      <w:pPr>
        <w:spacing w:line="276" w:lineRule="auto"/>
        <w:ind w:firstLine="360"/>
        <w:rPr>
          <w:rFonts w:asciiTheme="minorHAnsi" w:hAnsiTheme="minorHAnsi" w:cs="Times New Roman"/>
          <w:sz w:val="22"/>
        </w:rPr>
      </w:pPr>
    </w:p>
    <w:p w:rsidR="00746546" w:rsidRPr="006B1749" w:rsidRDefault="00746546" w:rsidP="006B1749">
      <w:pPr>
        <w:spacing w:line="276" w:lineRule="auto"/>
        <w:ind w:firstLine="360"/>
        <w:rPr>
          <w:rFonts w:asciiTheme="minorHAnsi" w:hAnsiTheme="minorHAnsi" w:cs="Times New Roman"/>
          <w:sz w:val="22"/>
        </w:rPr>
      </w:pPr>
    </w:p>
    <w:p w:rsidR="006C620E" w:rsidRPr="006B1749" w:rsidRDefault="006C620E" w:rsidP="006C620E">
      <w:pPr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  <w:r w:rsidRPr="006B1749">
        <w:rPr>
          <w:rFonts w:asciiTheme="minorHAnsi" w:hAnsiTheme="minorHAnsi" w:cs="Times New Roman"/>
          <w:b/>
          <w:szCs w:val="24"/>
        </w:rPr>
        <w:lastRenderedPageBreak/>
        <w:t>Uzasadnienie</w:t>
      </w:r>
    </w:p>
    <w:p w:rsidR="006C620E" w:rsidRPr="006B1749" w:rsidRDefault="006C620E" w:rsidP="006C620E">
      <w:pPr>
        <w:spacing w:line="276" w:lineRule="auto"/>
        <w:rPr>
          <w:rFonts w:asciiTheme="minorHAnsi" w:hAnsiTheme="minorHAnsi" w:cs="Times New Roman"/>
          <w:sz w:val="22"/>
        </w:rPr>
      </w:pPr>
    </w:p>
    <w:p w:rsidR="00156B23" w:rsidRPr="006B1749" w:rsidRDefault="00156B23" w:rsidP="006C620E">
      <w:pPr>
        <w:spacing w:line="276" w:lineRule="auto"/>
        <w:rPr>
          <w:rFonts w:asciiTheme="minorHAnsi" w:hAnsiTheme="minorHAnsi" w:cs="Times New Roman"/>
          <w:b/>
          <w:sz w:val="22"/>
        </w:rPr>
      </w:pPr>
      <w:r w:rsidRPr="006B1749">
        <w:rPr>
          <w:rFonts w:asciiTheme="minorHAnsi" w:hAnsiTheme="minorHAnsi" w:cs="Times New Roman"/>
          <w:b/>
          <w:sz w:val="22"/>
        </w:rPr>
        <w:t>Kwalifikacja wnioskowanych informacji jako informacji o środowisku</w:t>
      </w:r>
    </w:p>
    <w:p w:rsidR="00156B23" w:rsidRPr="006B1749" w:rsidRDefault="00156B23" w:rsidP="006C620E">
      <w:pPr>
        <w:spacing w:line="276" w:lineRule="auto"/>
        <w:rPr>
          <w:rFonts w:asciiTheme="minorHAnsi" w:hAnsiTheme="minorHAnsi" w:cs="Times New Roman"/>
          <w:sz w:val="22"/>
        </w:rPr>
      </w:pPr>
    </w:p>
    <w:p w:rsidR="00BB04D6" w:rsidRPr="006B1749" w:rsidRDefault="00637A42" w:rsidP="006C620E">
      <w:pPr>
        <w:spacing w:line="276" w:lineRule="auto"/>
        <w:rPr>
          <w:rFonts w:asciiTheme="minorHAnsi" w:hAnsiTheme="minorHAnsi" w:cs="Times New Roman"/>
          <w:sz w:val="22"/>
        </w:rPr>
      </w:pPr>
      <w:r w:rsidRPr="006B1749">
        <w:rPr>
          <w:rFonts w:asciiTheme="minorHAnsi" w:hAnsiTheme="minorHAnsi" w:cs="Times New Roman"/>
          <w:sz w:val="22"/>
        </w:rPr>
        <w:t>Decyzje zezwalające na usunięcie drzew oraz wnioski o ich wydanie</w:t>
      </w:r>
      <w:r w:rsidR="00093DF6" w:rsidRPr="006B1749">
        <w:rPr>
          <w:rFonts w:asciiTheme="minorHAnsi" w:hAnsiTheme="minorHAnsi" w:cs="Times New Roman"/>
          <w:sz w:val="22"/>
        </w:rPr>
        <w:t xml:space="preserve"> (tj. informacje wymienione w pkt a) i b) niniejszego wniosku)</w:t>
      </w:r>
      <w:r w:rsidRPr="006B1749">
        <w:rPr>
          <w:rFonts w:asciiTheme="minorHAnsi" w:hAnsiTheme="minorHAnsi" w:cs="Times New Roman"/>
          <w:sz w:val="22"/>
        </w:rPr>
        <w:t xml:space="preserve"> mieszczą się w kategorii informacji </w:t>
      </w:r>
      <w:r w:rsidR="00093DF6" w:rsidRPr="006B1749">
        <w:rPr>
          <w:rFonts w:asciiTheme="minorHAnsi" w:hAnsiTheme="minorHAnsi" w:cs="Times New Roman"/>
          <w:sz w:val="22"/>
        </w:rPr>
        <w:t xml:space="preserve">o środowisku, o których mowa w art. 9 ust. 1 pkt 3 oraz - częściowo - pkt 5 ustawy o udostępnianiu informacji o środowisku i jego ochronie, udziale społeczeństwa w ochronie środowiska oraz o ocenach oddziaływania na środowisko (ustawa ooś). </w:t>
      </w:r>
    </w:p>
    <w:p w:rsidR="00093DF6" w:rsidRPr="006B1749" w:rsidRDefault="00093DF6" w:rsidP="006C620E">
      <w:pPr>
        <w:spacing w:line="276" w:lineRule="auto"/>
        <w:rPr>
          <w:rFonts w:asciiTheme="minorHAnsi" w:hAnsiTheme="minorHAnsi" w:cs="Times New Roman"/>
          <w:sz w:val="22"/>
        </w:rPr>
      </w:pPr>
    </w:p>
    <w:p w:rsidR="00093DF6" w:rsidRPr="006B1749" w:rsidRDefault="00093DF6" w:rsidP="006C620E">
      <w:pPr>
        <w:spacing w:line="276" w:lineRule="auto"/>
        <w:rPr>
          <w:rFonts w:asciiTheme="minorHAnsi" w:hAnsiTheme="minorHAnsi" w:cs="Times New Roman"/>
          <w:sz w:val="22"/>
        </w:rPr>
      </w:pPr>
      <w:r w:rsidRPr="006B1749">
        <w:rPr>
          <w:rFonts w:asciiTheme="minorHAnsi" w:hAnsiTheme="minorHAnsi" w:cs="Times New Roman"/>
          <w:sz w:val="22"/>
        </w:rPr>
        <w:t>Wydane decyzje są „środkami administracyjnymi wpływającymi na elementy środowiska”, w tym wypadku na objęte nimi drzewa (tereny zielone).</w:t>
      </w:r>
      <w:r w:rsidR="00126F2A" w:rsidRPr="006B1749">
        <w:rPr>
          <w:rFonts w:asciiTheme="minorHAnsi" w:hAnsiTheme="minorHAnsi" w:cs="Times New Roman"/>
          <w:sz w:val="22"/>
        </w:rPr>
        <w:t xml:space="preserve"> Do środków takich, podejmowanych przez organy administracji, należą m.in. wydane decyzje administracyjne (art. 9 ust. 1 pkt 3 ustawy ooś).</w:t>
      </w:r>
    </w:p>
    <w:p w:rsidR="00093DF6" w:rsidRPr="006B1749" w:rsidRDefault="00093DF6" w:rsidP="006C620E">
      <w:pPr>
        <w:spacing w:line="276" w:lineRule="auto"/>
        <w:rPr>
          <w:rFonts w:asciiTheme="minorHAnsi" w:hAnsiTheme="minorHAnsi" w:cs="Times New Roman"/>
          <w:sz w:val="22"/>
        </w:rPr>
      </w:pPr>
    </w:p>
    <w:p w:rsidR="00093DF6" w:rsidRPr="006B1749" w:rsidRDefault="00093DF6" w:rsidP="00156B23">
      <w:pPr>
        <w:spacing w:line="276" w:lineRule="auto"/>
        <w:rPr>
          <w:rFonts w:asciiTheme="minorHAnsi" w:hAnsiTheme="minorHAnsi" w:cs="Times New Roman"/>
          <w:sz w:val="22"/>
        </w:rPr>
      </w:pPr>
      <w:r w:rsidRPr="006B1749">
        <w:rPr>
          <w:rFonts w:asciiTheme="minorHAnsi" w:hAnsiTheme="minorHAnsi" w:cs="Times New Roman"/>
          <w:sz w:val="22"/>
        </w:rPr>
        <w:t>Wnioski o wydanie tych decyzji należy natomiast uznać za informacje o</w:t>
      </w:r>
      <w:r w:rsidR="00126F2A" w:rsidRPr="006B1749">
        <w:rPr>
          <w:rFonts w:asciiTheme="minorHAnsi" w:hAnsiTheme="minorHAnsi" w:cs="Times New Roman"/>
          <w:sz w:val="22"/>
        </w:rPr>
        <w:t xml:space="preserve"> „działaniach </w:t>
      </w:r>
      <w:r w:rsidR="00126F2A" w:rsidRPr="006B1749">
        <w:rPr>
          <w:rFonts w:asciiTheme="minorHAnsi" w:hAnsiTheme="minorHAnsi"/>
          <w:sz w:val="22"/>
        </w:rPr>
        <w:t>wpływających lub mogących wpłynąć na elementy środowiska”</w:t>
      </w:r>
      <w:r w:rsidR="00316E18" w:rsidRPr="006B1749">
        <w:rPr>
          <w:rFonts w:asciiTheme="minorHAnsi" w:hAnsiTheme="minorHAnsi" w:cs="Times New Roman"/>
          <w:sz w:val="22"/>
        </w:rPr>
        <w:t xml:space="preserve"> (planowanych przez składających takie wnioski)</w:t>
      </w:r>
      <w:r w:rsidR="00126F2A" w:rsidRPr="006B1749">
        <w:rPr>
          <w:rFonts w:asciiTheme="minorHAnsi" w:hAnsiTheme="minorHAnsi"/>
          <w:sz w:val="22"/>
        </w:rPr>
        <w:t xml:space="preserve">. Wnioski te częściowo należy także </w:t>
      </w:r>
      <w:r w:rsidR="00CD263D" w:rsidRPr="006B1749">
        <w:rPr>
          <w:rFonts w:asciiTheme="minorHAnsi" w:hAnsiTheme="minorHAnsi"/>
          <w:sz w:val="22"/>
        </w:rPr>
        <w:t>uznać</w:t>
      </w:r>
      <w:r w:rsidR="00126F2A" w:rsidRPr="006B1749">
        <w:rPr>
          <w:rFonts w:asciiTheme="minorHAnsi" w:hAnsiTheme="minorHAnsi"/>
          <w:sz w:val="22"/>
        </w:rPr>
        <w:t xml:space="preserve"> </w:t>
      </w:r>
      <w:r w:rsidR="00CD263D" w:rsidRPr="006B1749">
        <w:rPr>
          <w:rFonts w:asciiTheme="minorHAnsi" w:hAnsiTheme="minorHAnsi"/>
          <w:sz w:val="22"/>
        </w:rPr>
        <w:t xml:space="preserve">za „założenia”, o których mowa w art. 9 ust. 1 pkt 5, wykorzystane przez organ do podjęcia środka administracyjnego (tj. </w:t>
      </w:r>
      <w:r w:rsidR="006B1552" w:rsidRPr="006B1749">
        <w:rPr>
          <w:rFonts w:asciiTheme="minorHAnsi" w:hAnsiTheme="minorHAnsi"/>
          <w:sz w:val="22"/>
        </w:rPr>
        <w:t xml:space="preserve">wydania decyzji). Zawierały one </w:t>
      </w:r>
      <w:r w:rsidR="00CD263D" w:rsidRPr="006B1749">
        <w:rPr>
          <w:rFonts w:asciiTheme="minorHAnsi" w:hAnsiTheme="minorHAnsi"/>
          <w:sz w:val="22"/>
        </w:rPr>
        <w:t xml:space="preserve">bowiem informacje o </w:t>
      </w:r>
      <w:r w:rsidR="00852948" w:rsidRPr="006B1749">
        <w:rPr>
          <w:rFonts w:asciiTheme="minorHAnsi" w:hAnsiTheme="minorHAnsi"/>
          <w:sz w:val="22"/>
        </w:rPr>
        <w:t>planowanych działaniach wraz z ich uzasadnieniem, co powinno być podstawą do wydania przez organ odpowiedniej decyzji.</w:t>
      </w:r>
    </w:p>
    <w:p w:rsidR="00093DF6" w:rsidRPr="006B1749" w:rsidRDefault="00093DF6" w:rsidP="00156B23">
      <w:pPr>
        <w:spacing w:line="276" w:lineRule="auto"/>
        <w:rPr>
          <w:rFonts w:asciiTheme="minorHAnsi" w:hAnsiTheme="minorHAnsi"/>
          <w:sz w:val="22"/>
        </w:rPr>
      </w:pPr>
    </w:p>
    <w:p w:rsidR="00156B23" w:rsidRPr="006B1749" w:rsidRDefault="00852948" w:rsidP="00156B2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Ponadto, zarówno</w:t>
      </w:r>
      <w:r w:rsidR="00156B23" w:rsidRPr="006B1749">
        <w:rPr>
          <w:rFonts w:asciiTheme="minorHAnsi" w:hAnsiTheme="minorHAnsi"/>
          <w:sz w:val="22"/>
        </w:rPr>
        <w:t xml:space="preserve"> dane o wnioskach</w:t>
      </w:r>
      <w:r w:rsidRPr="006B1749">
        <w:rPr>
          <w:rFonts w:asciiTheme="minorHAnsi" w:hAnsiTheme="minorHAnsi"/>
          <w:sz w:val="22"/>
        </w:rPr>
        <w:t xml:space="preserve"> o wydanie zezwoleń na usunięcie drzew, jak też </w:t>
      </w:r>
      <w:r w:rsidR="00156B23" w:rsidRPr="006B1749">
        <w:rPr>
          <w:rFonts w:asciiTheme="minorHAnsi" w:hAnsiTheme="minorHAnsi"/>
          <w:sz w:val="22"/>
        </w:rPr>
        <w:t xml:space="preserve">o samych zezwoleniach umieszczane są w publicznie dostępnych wykazach - zgodnie z art. 21 ust. 2 pkt 24 lit. f) ustawy ooś. </w:t>
      </w:r>
    </w:p>
    <w:p w:rsidR="00156B23" w:rsidRPr="006B1749" w:rsidRDefault="00156B23" w:rsidP="00156B23">
      <w:pPr>
        <w:spacing w:line="276" w:lineRule="auto"/>
        <w:rPr>
          <w:rFonts w:asciiTheme="minorHAnsi" w:hAnsiTheme="minorHAnsi"/>
          <w:sz w:val="22"/>
        </w:rPr>
      </w:pPr>
    </w:p>
    <w:p w:rsidR="00637A42" w:rsidRPr="006B1749" w:rsidRDefault="00156B23" w:rsidP="00B54D6C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Dokumenty i informacje, o których mowa w pkt c) niniejszego wniosku </w:t>
      </w:r>
      <w:r w:rsidRPr="006B1749">
        <w:rPr>
          <w:rFonts w:asciiTheme="minorHAnsi" w:hAnsiTheme="minorHAnsi" w:cs="Times New Roman"/>
          <w:sz w:val="22"/>
        </w:rPr>
        <w:t>mieszczą się w kategorii informacji o środowisku, o których mowa w art. 9 ust. 1 pkt 5 ustawy ooś - są to bowiem „</w:t>
      </w:r>
      <w:r w:rsidRPr="006B1749">
        <w:rPr>
          <w:rFonts w:asciiTheme="minorHAnsi" w:hAnsiTheme="minorHAnsi"/>
          <w:sz w:val="22"/>
        </w:rPr>
        <w:t>założenia wykorzystane</w:t>
      </w:r>
      <w:r w:rsidR="00637A42" w:rsidRPr="006B1749">
        <w:rPr>
          <w:rFonts w:asciiTheme="minorHAnsi" w:hAnsiTheme="minorHAnsi"/>
          <w:sz w:val="22"/>
        </w:rPr>
        <w:t xml:space="preserve"> w ramach środków i </w:t>
      </w:r>
      <w:r w:rsidRPr="006B1749">
        <w:rPr>
          <w:rFonts w:asciiTheme="minorHAnsi" w:hAnsiTheme="minorHAnsi"/>
          <w:sz w:val="22"/>
        </w:rPr>
        <w:t>działań, o których mowa w pkt 3” - w tym wypadku w ramach wydawania decyzji administracyjnej.</w:t>
      </w:r>
    </w:p>
    <w:p w:rsidR="00156B23" w:rsidRPr="006B1749" w:rsidRDefault="00156B23" w:rsidP="00B54D6C">
      <w:pPr>
        <w:spacing w:line="276" w:lineRule="auto"/>
        <w:rPr>
          <w:rFonts w:asciiTheme="minorHAnsi" w:hAnsiTheme="minorHAnsi"/>
          <w:sz w:val="22"/>
        </w:rPr>
      </w:pPr>
    </w:p>
    <w:p w:rsidR="00156B23" w:rsidRPr="006B1749" w:rsidRDefault="00156B23" w:rsidP="00B54D6C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Wszystkie wymienione we wniosku informacje są więc </w:t>
      </w:r>
      <w:r w:rsidR="008B4353" w:rsidRPr="006B1749">
        <w:rPr>
          <w:rFonts w:asciiTheme="minorHAnsi" w:hAnsiTheme="minorHAnsi"/>
          <w:sz w:val="22"/>
        </w:rPr>
        <w:t>informacjami o środowisku, w związku z czym podlegają udostępnianiu</w:t>
      </w:r>
      <w:r w:rsidRPr="006B1749">
        <w:rPr>
          <w:rFonts w:asciiTheme="minorHAnsi" w:hAnsiTheme="minorHAnsi"/>
          <w:sz w:val="22"/>
        </w:rPr>
        <w:t xml:space="preserve"> </w:t>
      </w:r>
      <w:r w:rsidR="008B4353" w:rsidRPr="006B1749">
        <w:rPr>
          <w:rFonts w:asciiTheme="minorHAnsi" w:hAnsiTheme="minorHAnsi"/>
          <w:sz w:val="22"/>
        </w:rPr>
        <w:t>na podstawie ustawy ooś.</w:t>
      </w:r>
    </w:p>
    <w:p w:rsidR="008B4353" w:rsidRPr="006B1749" w:rsidRDefault="008B4353" w:rsidP="00B54D6C">
      <w:pPr>
        <w:spacing w:line="276" w:lineRule="auto"/>
        <w:rPr>
          <w:rFonts w:asciiTheme="minorHAnsi" w:hAnsiTheme="minorHAnsi"/>
          <w:sz w:val="22"/>
        </w:rPr>
      </w:pPr>
    </w:p>
    <w:p w:rsidR="008B4353" w:rsidRPr="006B1749" w:rsidRDefault="008B4353" w:rsidP="00B54D6C">
      <w:pPr>
        <w:spacing w:line="276" w:lineRule="auto"/>
        <w:rPr>
          <w:rFonts w:asciiTheme="minorHAnsi" w:hAnsiTheme="minorHAnsi"/>
          <w:b/>
          <w:sz w:val="22"/>
        </w:rPr>
      </w:pPr>
      <w:r w:rsidRPr="006B1749">
        <w:rPr>
          <w:rFonts w:asciiTheme="minorHAnsi" w:hAnsiTheme="minorHAnsi"/>
          <w:b/>
          <w:sz w:val="22"/>
        </w:rPr>
        <w:t>Termin na udostępnienie informacji</w:t>
      </w:r>
    </w:p>
    <w:p w:rsidR="008B4353" w:rsidRPr="006B1749" w:rsidRDefault="008B4353" w:rsidP="005F38B4">
      <w:pPr>
        <w:spacing w:line="276" w:lineRule="auto"/>
        <w:rPr>
          <w:rFonts w:asciiTheme="minorHAnsi" w:hAnsiTheme="minorHAnsi"/>
          <w:sz w:val="22"/>
        </w:rPr>
      </w:pPr>
    </w:p>
    <w:p w:rsidR="00D00065" w:rsidRPr="006B1749" w:rsidRDefault="00D00065" w:rsidP="00D00065">
      <w:pPr>
        <w:spacing w:line="276" w:lineRule="auto"/>
        <w:rPr>
          <w:rFonts w:asciiTheme="minorHAnsi" w:hAnsiTheme="minorHAnsi"/>
          <w:b/>
          <w:sz w:val="22"/>
        </w:rPr>
      </w:pPr>
      <w:r w:rsidRPr="006B1749">
        <w:rPr>
          <w:rFonts w:asciiTheme="minorHAnsi" w:hAnsiTheme="minorHAnsi"/>
          <w:sz w:val="22"/>
        </w:rPr>
        <w:t xml:space="preserve">Zgodnie z art. 14 ust. 3 ustawy ooś, </w:t>
      </w:r>
      <w:r w:rsidRPr="006B1749">
        <w:rPr>
          <w:rFonts w:asciiTheme="minorHAnsi" w:hAnsiTheme="minorHAnsi"/>
          <w:b/>
          <w:sz w:val="22"/>
        </w:rPr>
        <w:t>dokumenty, o których dane są zamieszczane w publicznie dostępnych wykazach (a więc wnioski o wydanie zezwoleń oraz same zezwolenia) udostępnia się w dniu złożenia wniosku.</w:t>
      </w:r>
    </w:p>
    <w:p w:rsidR="00D00065" w:rsidRPr="006B1749" w:rsidRDefault="00D00065" w:rsidP="005F38B4">
      <w:pPr>
        <w:spacing w:line="276" w:lineRule="auto"/>
        <w:rPr>
          <w:rFonts w:asciiTheme="minorHAnsi" w:hAnsiTheme="minorHAnsi"/>
          <w:sz w:val="22"/>
        </w:rPr>
      </w:pPr>
    </w:p>
    <w:p w:rsidR="005F38B4" w:rsidRPr="006B1749" w:rsidRDefault="008B4353" w:rsidP="005F38B4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Zgodnie z art. </w:t>
      </w:r>
      <w:r w:rsidR="005F38B4" w:rsidRPr="006B1749">
        <w:rPr>
          <w:rFonts w:asciiTheme="minorHAnsi" w:hAnsiTheme="minorHAnsi"/>
          <w:sz w:val="22"/>
        </w:rPr>
        <w:t>14</w:t>
      </w:r>
      <w:r w:rsidR="00D00065" w:rsidRPr="006B1749">
        <w:rPr>
          <w:rFonts w:asciiTheme="minorHAnsi" w:hAnsiTheme="minorHAnsi"/>
          <w:sz w:val="22"/>
        </w:rPr>
        <w:t xml:space="preserve"> ust. 1 i 2</w:t>
      </w:r>
      <w:r w:rsidR="005F38B4" w:rsidRPr="006B1749">
        <w:rPr>
          <w:rFonts w:asciiTheme="minorHAnsi" w:hAnsiTheme="minorHAnsi"/>
          <w:sz w:val="22"/>
        </w:rPr>
        <w:t xml:space="preserve"> ustawy ooś, </w:t>
      </w:r>
      <w:r w:rsidR="00D00065" w:rsidRPr="006B1749">
        <w:rPr>
          <w:rFonts w:asciiTheme="minorHAnsi" w:hAnsiTheme="minorHAnsi"/>
          <w:sz w:val="22"/>
        </w:rPr>
        <w:t xml:space="preserve">pozostałe </w:t>
      </w:r>
      <w:r w:rsidR="005F38B4" w:rsidRPr="006B1749">
        <w:rPr>
          <w:rFonts w:asciiTheme="minorHAnsi" w:hAnsiTheme="minorHAnsi"/>
          <w:sz w:val="22"/>
        </w:rPr>
        <w:t>żądane informacje są udostępniane „bez zbędnej zwłoki, nie później niż w ciągu miesiąca od dnia otrzymania wniosku”.</w:t>
      </w:r>
    </w:p>
    <w:p w:rsidR="005F38B4" w:rsidRPr="006B1749" w:rsidRDefault="005F38B4" w:rsidP="00D00065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Termin ten może zostać przedłużony do maksymalnie dwóch miesięcy ze względu na stopień skomplikowania sprawy. </w:t>
      </w:r>
    </w:p>
    <w:p w:rsidR="005F38B4" w:rsidRPr="006B1749" w:rsidRDefault="005F38B4" w:rsidP="00D00065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Należy jednak podkreślić, że - jak wskazuje się w literaturze - </w:t>
      </w:r>
      <w:r w:rsidRPr="006B1749">
        <w:rPr>
          <w:rFonts w:asciiTheme="minorHAnsi" w:hAnsiTheme="minorHAnsi"/>
          <w:b/>
          <w:sz w:val="22"/>
        </w:rPr>
        <w:t>termin dwumiesięczny jest już terminem maksymalnym, który nie może podlegać dalszemu przedłużaniu</w:t>
      </w:r>
      <w:r w:rsidRPr="006B1749">
        <w:rPr>
          <w:rFonts w:asciiTheme="minorHAnsi" w:hAnsiTheme="minorHAnsi"/>
          <w:sz w:val="22"/>
        </w:rPr>
        <w:t xml:space="preserve"> </w:t>
      </w:r>
      <w:r w:rsidR="00D00065" w:rsidRPr="006B1749">
        <w:rPr>
          <w:rFonts w:asciiTheme="minorHAnsi" w:hAnsiTheme="minorHAnsi"/>
          <w:sz w:val="22"/>
        </w:rPr>
        <w:t xml:space="preserve">(zob. M. Bar, J. </w:t>
      </w:r>
      <w:r w:rsidR="00D00065" w:rsidRPr="006B1749">
        <w:rPr>
          <w:rFonts w:asciiTheme="minorHAnsi" w:hAnsiTheme="minorHAnsi"/>
          <w:sz w:val="22"/>
        </w:rPr>
        <w:lastRenderedPageBreak/>
        <w:t>Jendrośka, Komentarz do art.</w:t>
      </w:r>
      <w:r w:rsidR="006872FE" w:rsidRPr="006B1749">
        <w:rPr>
          <w:rFonts w:asciiTheme="minorHAnsi" w:hAnsiTheme="minorHAnsi"/>
          <w:sz w:val="22"/>
        </w:rPr>
        <w:t xml:space="preserve"> </w:t>
      </w:r>
      <w:r w:rsidR="00D00065" w:rsidRPr="006B1749">
        <w:rPr>
          <w:rFonts w:asciiTheme="minorHAnsi" w:hAnsiTheme="minorHAnsi"/>
          <w:sz w:val="22"/>
        </w:rPr>
        <w:t>14 ustawy o udostępnianiu informacji o środowisku i jego ochronie, udziale społeczeństwa w ochronie środowiska oraz o ocenach oddziaływania na środowisko, Lex/el., 2014).</w:t>
      </w:r>
    </w:p>
    <w:p w:rsidR="005F38B4" w:rsidRPr="006B1749" w:rsidRDefault="005F38B4" w:rsidP="00D00065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Określenie dwumiesięcznego przedłużonego już terminu na udostępnienie informacji jako nieprzekraczalnego wynika nie tylko z brzmienia ustawy ooś, ale także z art. 3 ust. 2 dyrektywy 2003/4/WE</w:t>
      </w:r>
      <w:r w:rsidRPr="006B1749">
        <w:rPr>
          <w:rStyle w:val="Odwoanieprzypisudolnego"/>
          <w:rFonts w:asciiTheme="minorHAnsi" w:hAnsiTheme="minorHAnsi"/>
          <w:sz w:val="22"/>
        </w:rPr>
        <w:footnoteReference w:id="1"/>
      </w:r>
      <w:r w:rsidRPr="006B1749">
        <w:rPr>
          <w:rFonts w:asciiTheme="minorHAnsi" w:hAnsiTheme="minorHAnsi"/>
          <w:sz w:val="22"/>
        </w:rPr>
        <w:t xml:space="preserve"> oraz art. 4 ust. 2 ratyfikowanej przez Polskę Konwencji z Aarhus</w:t>
      </w:r>
      <w:r w:rsidRPr="006B1749">
        <w:rPr>
          <w:rStyle w:val="Odwoanieprzypisudolnego"/>
          <w:rFonts w:asciiTheme="minorHAnsi" w:hAnsiTheme="minorHAnsi"/>
          <w:sz w:val="22"/>
        </w:rPr>
        <w:footnoteReference w:id="2"/>
      </w:r>
      <w:r w:rsidRPr="006B1749">
        <w:rPr>
          <w:rFonts w:asciiTheme="minorHAnsi" w:hAnsiTheme="minorHAnsi"/>
          <w:sz w:val="22"/>
        </w:rPr>
        <w:t>.</w:t>
      </w:r>
    </w:p>
    <w:p w:rsidR="005F38B4" w:rsidRPr="006B1749" w:rsidRDefault="005F38B4" w:rsidP="00D00065">
      <w:pPr>
        <w:spacing w:line="276" w:lineRule="auto"/>
        <w:rPr>
          <w:rFonts w:asciiTheme="minorHAnsi" w:hAnsiTheme="minorHAnsi"/>
          <w:sz w:val="22"/>
        </w:rPr>
      </w:pPr>
    </w:p>
    <w:p w:rsidR="00D00065" w:rsidRPr="006B1749" w:rsidRDefault="00D00065" w:rsidP="00D00065">
      <w:pPr>
        <w:spacing w:line="276" w:lineRule="auto"/>
        <w:rPr>
          <w:rFonts w:asciiTheme="minorHAnsi" w:hAnsiTheme="minorHAnsi"/>
          <w:sz w:val="22"/>
        </w:rPr>
      </w:pPr>
    </w:p>
    <w:p w:rsidR="00D00065" w:rsidRPr="006B1749" w:rsidRDefault="00D00065" w:rsidP="00D00065">
      <w:pPr>
        <w:rPr>
          <w:rFonts w:asciiTheme="minorHAnsi" w:hAnsiTheme="minorHAnsi"/>
          <w:b/>
          <w:sz w:val="22"/>
        </w:rPr>
      </w:pPr>
      <w:r w:rsidRPr="006B1749">
        <w:rPr>
          <w:rFonts w:asciiTheme="minorHAnsi" w:hAnsiTheme="minorHAnsi"/>
          <w:b/>
          <w:sz w:val="22"/>
        </w:rPr>
        <w:t>Opłaty za udostępnianie informacji</w:t>
      </w:r>
    </w:p>
    <w:p w:rsidR="00B54D6C" w:rsidRPr="006B1749" w:rsidRDefault="00B54D6C" w:rsidP="00B54D6C">
      <w:pPr>
        <w:spacing w:line="276" w:lineRule="auto"/>
        <w:rPr>
          <w:rFonts w:asciiTheme="minorHAnsi" w:hAnsiTheme="minorHAnsi"/>
          <w:sz w:val="22"/>
        </w:rPr>
      </w:pPr>
    </w:p>
    <w:p w:rsidR="00560AA7" w:rsidRPr="006B1749" w:rsidRDefault="00560AA7" w:rsidP="00560AA7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Zgodnie z art. 26 ust. 1 ustawy ooś, wyszukiwanie oraz przeglądanie w siedzibie organu administracji dokumentów wyszczególnionych w publicznie dostępnym wykazie (a więc wniosków o zezwolenia i samych zezwoleń na usunięcie drzew - </w:t>
      </w:r>
      <w:r w:rsidR="006872FE" w:rsidRPr="006B1749">
        <w:rPr>
          <w:rFonts w:asciiTheme="minorHAnsi" w:hAnsiTheme="minorHAnsi"/>
          <w:sz w:val="22"/>
        </w:rPr>
        <w:t>wymienionych w pkt a) i b) niniejszego wniosku</w:t>
      </w:r>
      <w:r w:rsidRPr="006B1749">
        <w:rPr>
          <w:rFonts w:asciiTheme="minorHAnsi" w:hAnsiTheme="minorHAnsi"/>
          <w:sz w:val="22"/>
        </w:rPr>
        <w:t>) jest bezpłatne.</w:t>
      </w:r>
    </w:p>
    <w:p w:rsidR="00560AA7" w:rsidRPr="006B1749" w:rsidRDefault="00560AA7" w:rsidP="006872FE">
      <w:pPr>
        <w:spacing w:line="276" w:lineRule="auto"/>
        <w:rPr>
          <w:rFonts w:asciiTheme="minorHAnsi" w:hAnsiTheme="minorHAnsi"/>
          <w:b/>
          <w:sz w:val="22"/>
        </w:rPr>
      </w:pPr>
      <w:r w:rsidRPr="006B1749">
        <w:rPr>
          <w:rFonts w:asciiTheme="minorHAnsi" w:hAnsiTheme="minorHAnsi"/>
          <w:sz w:val="22"/>
        </w:rPr>
        <w:t xml:space="preserve">Przepis </w:t>
      </w:r>
      <w:r w:rsidR="006872FE" w:rsidRPr="006B1749">
        <w:rPr>
          <w:rFonts w:asciiTheme="minorHAnsi" w:hAnsiTheme="minorHAnsi"/>
          <w:sz w:val="22"/>
        </w:rPr>
        <w:t xml:space="preserve">ten </w:t>
      </w:r>
      <w:r w:rsidRPr="006B1749">
        <w:rPr>
          <w:rFonts w:asciiTheme="minorHAnsi" w:hAnsiTheme="minorHAnsi"/>
          <w:sz w:val="22"/>
        </w:rPr>
        <w:t xml:space="preserve">oznacza, że w przypadku dokumentów, o których dane organ ma obowiązek umieścić w publicznie dostępnym wykazie </w:t>
      </w:r>
      <w:r w:rsidRPr="006B1749">
        <w:rPr>
          <w:rFonts w:asciiTheme="minorHAnsi" w:hAnsiTheme="minorHAnsi"/>
          <w:b/>
          <w:sz w:val="22"/>
        </w:rPr>
        <w:t>nie pobiera się opłat</w:t>
      </w:r>
      <w:r w:rsidRPr="006B1749">
        <w:rPr>
          <w:rFonts w:asciiTheme="minorHAnsi" w:hAnsiTheme="minorHAnsi"/>
          <w:sz w:val="22"/>
        </w:rPr>
        <w:t xml:space="preserve"> </w:t>
      </w:r>
      <w:r w:rsidRPr="006B1749">
        <w:rPr>
          <w:rFonts w:asciiTheme="minorHAnsi" w:hAnsiTheme="minorHAnsi"/>
          <w:b/>
          <w:sz w:val="22"/>
        </w:rPr>
        <w:t>ani za ich udostępnienie na miejscu, ani też za ich wyszukanie.</w:t>
      </w:r>
    </w:p>
    <w:p w:rsidR="006872FE" w:rsidRPr="006B1749" w:rsidRDefault="006872FE" w:rsidP="006872FE">
      <w:pPr>
        <w:spacing w:line="276" w:lineRule="auto"/>
        <w:rPr>
          <w:rFonts w:asciiTheme="minorHAnsi" w:hAnsiTheme="minorHAnsi"/>
          <w:sz w:val="22"/>
        </w:rPr>
      </w:pPr>
    </w:p>
    <w:p w:rsidR="00560AA7" w:rsidRPr="006B1749" w:rsidRDefault="00560AA7" w:rsidP="006872FE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Opłat za wyszukanie nie pobiera</w:t>
      </w:r>
      <w:r w:rsidR="00E32957" w:rsidRPr="006B1749">
        <w:rPr>
          <w:rFonts w:asciiTheme="minorHAnsi" w:hAnsiTheme="minorHAnsi"/>
          <w:sz w:val="22"/>
        </w:rPr>
        <w:t xml:space="preserve"> się</w:t>
      </w:r>
      <w:r w:rsidRPr="006B1749">
        <w:rPr>
          <w:rFonts w:asciiTheme="minorHAnsi" w:hAnsiTheme="minorHAnsi"/>
          <w:sz w:val="22"/>
        </w:rPr>
        <w:t xml:space="preserve"> nie tylko wówczas, gdy wnioskodawca zamierza przeglądać dokumenty w siedzibie</w:t>
      </w:r>
      <w:r w:rsidR="006872FE" w:rsidRPr="006B1749">
        <w:rPr>
          <w:rFonts w:asciiTheme="minorHAnsi" w:hAnsiTheme="minorHAnsi"/>
          <w:sz w:val="22"/>
        </w:rPr>
        <w:t xml:space="preserve"> organu, ale także wówczas, gdy wnioskuje o ich przesłanie - art. 26 ust. 1 </w:t>
      </w:r>
      <w:r w:rsidRPr="006B1749">
        <w:rPr>
          <w:rFonts w:asciiTheme="minorHAnsi" w:hAnsiTheme="minorHAnsi"/>
          <w:sz w:val="22"/>
        </w:rPr>
        <w:t xml:space="preserve">przewiduje </w:t>
      </w:r>
      <w:r w:rsidR="006872FE" w:rsidRPr="006B1749">
        <w:rPr>
          <w:rFonts w:asciiTheme="minorHAnsi" w:hAnsiTheme="minorHAnsi"/>
          <w:sz w:val="22"/>
        </w:rPr>
        <w:t xml:space="preserve">bowiem </w:t>
      </w:r>
      <w:r w:rsidRPr="006B1749">
        <w:rPr>
          <w:rFonts w:asciiTheme="minorHAnsi" w:hAnsiTheme="minorHAnsi"/>
          <w:sz w:val="22"/>
        </w:rPr>
        <w:t>nieodpłatne dokonanie dwóch odrębnych czynności:</w:t>
      </w:r>
    </w:p>
    <w:p w:rsidR="00560AA7" w:rsidRPr="006B1749" w:rsidRDefault="00560AA7" w:rsidP="006872F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wyszukania informacji (dokumentu) przez organ zobowiązany do udostępnienia informacji (wyszukanie jest tu czynnością niejako przygotowawczą do udostępnienia informacji – czy to w postaci udostępnienia na miejscu, czy też późniejszego przesłania tej informacji w określonej formie),</w:t>
      </w:r>
    </w:p>
    <w:p w:rsidR="00560AA7" w:rsidRPr="006B1749" w:rsidRDefault="00560AA7" w:rsidP="006872F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udostępnienie wnioskodawcy danej informacji na miejscu w siedzibie organu</w:t>
      </w:r>
      <w:r w:rsidR="006872FE" w:rsidRPr="006B1749">
        <w:rPr>
          <w:rFonts w:asciiTheme="minorHAnsi" w:hAnsiTheme="minorHAnsi"/>
          <w:sz w:val="22"/>
        </w:rPr>
        <w:t xml:space="preserve"> (zob. M. Bar, Komentarz do art. 26 ustawy o udostępnianiu informacji o środowisku i jego ochronie, udziale społeczeństwa w ochronie środowiska oraz o ocenach oddziaływania na środowisko, Lex/el., 2014)</w:t>
      </w:r>
      <w:r w:rsidRPr="006B1749">
        <w:rPr>
          <w:rFonts w:asciiTheme="minorHAnsi" w:hAnsiTheme="minorHAnsi"/>
          <w:sz w:val="22"/>
        </w:rPr>
        <w:t>.</w:t>
      </w:r>
    </w:p>
    <w:p w:rsidR="00560AA7" w:rsidRPr="006B1749" w:rsidRDefault="006872FE" w:rsidP="006872FE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b/>
          <w:sz w:val="22"/>
        </w:rPr>
        <w:t xml:space="preserve">W odniesieniu do informacji objętych pkt a) i b) niniejszego wniosku opłaty mogą być więc pobrane jedynie za </w:t>
      </w:r>
      <w:r w:rsidR="00E20320" w:rsidRPr="006B1749">
        <w:rPr>
          <w:rFonts w:asciiTheme="minorHAnsi" w:hAnsiTheme="minorHAnsi"/>
          <w:b/>
          <w:sz w:val="22"/>
        </w:rPr>
        <w:t>skanowanie</w:t>
      </w:r>
      <w:r w:rsidR="006B1749" w:rsidRPr="006B1749">
        <w:rPr>
          <w:rFonts w:asciiTheme="minorHAnsi" w:hAnsiTheme="minorHAnsi"/>
          <w:b/>
          <w:sz w:val="22"/>
        </w:rPr>
        <w:t xml:space="preserve"> </w:t>
      </w:r>
      <w:r w:rsidRPr="006B1749">
        <w:rPr>
          <w:rFonts w:asciiTheme="minorHAnsi" w:hAnsiTheme="minorHAnsi"/>
          <w:b/>
          <w:sz w:val="22"/>
        </w:rPr>
        <w:t>informacji</w:t>
      </w:r>
      <w:r w:rsidR="006B1749" w:rsidRPr="006B1749">
        <w:rPr>
          <w:rFonts w:asciiTheme="minorHAnsi" w:hAnsiTheme="minorHAnsi"/>
          <w:b/>
          <w:sz w:val="22"/>
        </w:rPr>
        <w:t xml:space="preserve"> (!!!)</w:t>
      </w:r>
      <w:r w:rsidRPr="006B1749">
        <w:rPr>
          <w:rFonts w:asciiTheme="minorHAnsi" w:hAnsiTheme="minorHAnsi"/>
          <w:sz w:val="22"/>
        </w:rPr>
        <w:t>.</w:t>
      </w:r>
      <w:r w:rsidR="00334E92">
        <w:rPr>
          <w:rFonts w:asciiTheme="minorHAnsi" w:hAnsiTheme="minorHAnsi"/>
          <w:sz w:val="22"/>
        </w:rPr>
        <w:t xml:space="preserve"> </w:t>
      </w:r>
      <w:r w:rsidR="00334E92" w:rsidRPr="00334E92">
        <w:rPr>
          <w:rFonts w:ascii="Garamond" w:hAnsi="Garamond"/>
          <w:i/>
          <w:sz w:val="22"/>
        </w:rPr>
        <w:t xml:space="preserve">(UWAGA PRAKTYCZNA: opłaty mogą być naliczane niezgodnie z obowiązującym rozporządzeniem, zatem </w:t>
      </w:r>
      <w:r w:rsidR="00334E92">
        <w:rPr>
          <w:rFonts w:ascii="Garamond" w:hAnsi="Garamond"/>
          <w:i/>
          <w:sz w:val="22"/>
        </w:rPr>
        <w:t>można od razu we wniosku poprosić o przedstawienie kalkulacji naliczonej opłaty)</w:t>
      </w:r>
    </w:p>
    <w:p w:rsidR="008B4353" w:rsidRPr="006B1749" w:rsidRDefault="008B4353" w:rsidP="00B54D6C">
      <w:pPr>
        <w:spacing w:line="276" w:lineRule="auto"/>
        <w:rPr>
          <w:rFonts w:asciiTheme="minorHAnsi" w:hAnsiTheme="minorHAnsi"/>
          <w:sz w:val="22"/>
        </w:rPr>
      </w:pPr>
    </w:p>
    <w:p w:rsidR="006872FE" w:rsidRPr="006B1749" w:rsidRDefault="006872FE" w:rsidP="00B54D6C">
      <w:pPr>
        <w:spacing w:line="276" w:lineRule="auto"/>
        <w:rPr>
          <w:rFonts w:asciiTheme="minorHAnsi" w:hAnsiTheme="minorHAnsi"/>
          <w:b/>
          <w:sz w:val="22"/>
        </w:rPr>
      </w:pPr>
      <w:r w:rsidRPr="006B1749">
        <w:rPr>
          <w:rFonts w:asciiTheme="minorHAnsi" w:hAnsiTheme="minorHAnsi"/>
          <w:b/>
          <w:sz w:val="22"/>
        </w:rPr>
        <w:t>Ochrona danych osobowych</w:t>
      </w:r>
    </w:p>
    <w:p w:rsidR="006872FE" w:rsidRPr="006B1749" w:rsidRDefault="006872FE" w:rsidP="00B54D6C">
      <w:pPr>
        <w:spacing w:line="276" w:lineRule="auto"/>
        <w:rPr>
          <w:rFonts w:asciiTheme="minorHAnsi" w:hAnsiTheme="minorHAnsi"/>
          <w:sz w:val="22"/>
        </w:rPr>
      </w:pPr>
    </w:p>
    <w:p w:rsidR="006872FE" w:rsidRPr="006B1749" w:rsidRDefault="006872FE" w:rsidP="00B54D6C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W związku z tym, że </w:t>
      </w:r>
      <w:r w:rsidR="00E32957" w:rsidRPr="006B1749">
        <w:rPr>
          <w:rFonts w:asciiTheme="minorHAnsi" w:hAnsiTheme="minorHAnsi"/>
          <w:sz w:val="22"/>
        </w:rPr>
        <w:t xml:space="preserve">w </w:t>
      </w:r>
      <w:r w:rsidRPr="006B1749">
        <w:rPr>
          <w:rFonts w:asciiTheme="minorHAnsi" w:hAnsiTheme="minorHAnsi"/>
          <w:sz w:val="22"/>
        </w:rPr>
        <w:t xml:space="preserve">przypadku wniosków złożonych przez osoby fizycznie niebędące przedsiębiorcami oraz decyzji wydanych na rzecz tych osób </w:t>
      </w:r>
      <w:r w:rsidR="00944B53" w:rsidRPr="006B1749">
        <w:rPr>
          <w:rFonts w:asciiTheme="minorHAnsi" w:hAnsiTheme="minorHAnsi"/>
          <w:sz w:val="22"/>
        </w:rPr>
        <w:t>pojawić się może kwestia ochrony danych osobowych tych osób, pragniemy wskazać, że dla zapewnienia tej ochrony wystarczające jest usunięcia imienia i nazwiska danej osoby, nie ma natomiast podstaw do zaczerniania także adresu nieruchomości lub numeru działki, z którego usuwane jest drzewo.</w:t>
      </w:r>
    </w:p>
    <w:p w:rsidR="00944B53" w:rsidRPr="006B1749" w:rsidRDefault="00944B53" w:rsidP="00B54D6C">
      <w:pPr>
        <w:spacing w:line="276" w:lineRule="auto"/>
        <w:rPr>
          <w:rFonts w:asciiTheme="minorHAnsi" w:hAnsiTheme="minorHAnsi"/>
          <w:sz w:val="22"/>
        </w:rPr>
      </w:pP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Zgodnie z ustawą o ochronie danych osobowych</w:t>
      </w:r>
      <w:r w:rsidRPr="006B1749">
        <w:rPr>
          <w:rStyle w:val="Odwoanieprzypisudolnego"/>
          <w:rFonts w:asciiTheme="minorHAnsi" w:hAnsiTheme="minorHAnsi"/>
          <w:sz w:val="22"/>
        </w:rPr>
        <w:footnoteReference w:id="3"/>
      </w:r>
      <w:r w:rsidRPr="006B1749">
        <w:rPr>
          <w:rFonts w:asciiTheme="minorHAnsi" w:hAnsiTheme="minorHAnsi"/>
          <w:sz w:val="22"/>
        </w:rPr>
        <w:t xml:space="preserve"> każdy ma prawo do ochrony dotyczących go danych osobowych. 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Zgodnie z tą ustawą za dane takie uważa się „</w:t>
      </w:r>
      <w:r w:rsidRPr="006B1749">
        <w:rPr>
          <w:rFonts w:asciiTheme="minorHAnsi" w:hAnsiTheme="minorHAnsi"/>
          <w:i/>
          <w:sz w:val="22"/>
        </w:rPr>
        <w:t>wszelkie informacje dotyczące zidentyfikowanej lub możliwej do zidentyfikowania osoby fizycznej</w:t>
      </w:r>
      <w:r w:rsidRPr="006B1749">
        <w:rPr>
          <w:rFonts w:asciiTheme="minorHAnsi" w:hAnsiTheme="minorHAnsi"/>
          <w:sz w:val="22"/>
        </w:rPr>
        <w:t>”</w:t>
      </w:r>
      <w:r w:rsidRPr="006B1749">
        <w:rPr>
          <w:rFonts w:asciiTheme="minorHAnsi" w:hAnsiTheme="minorHAnsi"/>
          <w:i/>
          <w:iCs/>
          <w:sz w:val="22"/>
        </w:rPr>
        <w:t xml:space="preserve"> </w:t>
      </w:r>
      <w:r w:rsidRPr="006B1749">
        <w:rPr>
          <w:rFonts w:asciiTheme="minorHAnsi" w:hAnsiTheme="minorHAnsi"/>
          <w:sz w:val="22"/>
        </w:rPr>
        <w:t>(art. 6 ust. 1 ustawy o ochronie danych osobowych).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Osobą możliwą do zidentyfikowania jest osoba, „</w:t>
      </w:r>
      <w:r w:rsidRPr="006B1749">
        <w:rPr>
          <w:rFonts w:asciiTheme="minorHAnsi" w:hAnsiTheme="minorHAnsi"/>
          <w:i/>
          <w:sz w:val="22"/>
        </w:rPr>
        <w:t>której tożsamość można określić bezpośrednio lub pośrednio, w szczególności poprzez powołanie się na numer identyfikacyjny albo jeden lub kilka specyficznych czynników określających jej cechy fizyczne, fizjologiczne, umysłowe, ekonomiczne, kulturowe lub społeczne</w:t>
      </w:r>
      <w:r w:rsidRPr="006B1749">
        <w:rPr>
          <w:rFonts w:asciiTheme="minorHAnsi" w:hAnsiTheme="minorHAnsi"/>
          <w:sz w:val="22"/>
        </w:rPr>
        <w:t xml:space="preserve">” (art. 6 ust. 2 ustawy o ochronie danych osobowych). 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b/>
          <w:sz w:val="22"/>
        </w:rPr>
        <w:t>Za umożliwiającą określenie tożsamości osoby nie uważa się jednak informacji, jeżeli określenie tożsamości danej osoby wymagałoby nadmiernych kosztów, czasu lub działań</w:t>
      </w:r>
      <w:r w:rsidRPr="006B1749">
        <w:rPr>
          <w:rFonts w:asciiTheme="minorHAnsi" w:hAnsiTheme="minorHAnsi"/>
          <w:sz w:val="22"/>
        </w:rPr>
        <w:t xml:space="preserve"> (art. 6 ust. 3 ustawy o ochronie danych osobowych).</w:t>
      </w:r>
    </w:p>
    <w:p w:rsidR="00944B53" w:rsidRPr="006B1749" w:rsidRDefault="00944B53" w:rsidP="00944B53">
      <w:pPr>
        <w:spacing w:line="276" w:lineRule="auto"/>
        <w:rPr>
          <w:rFonts w:asciiTheme="minorHAnsi" w:eastAsia="Calibri" w:hAnsiTheme="minorHAnsi"/>
          <w:sz w:val="22"/>
        </w:rPr>
      </w:pPr>
      <w:r w:rsidRPr="006B1749">
        <w:rPr>
          <w:rFonts w:asciiTheme="minorHAnsi" w:hAnsiTheme="minorHAnsi"/>
          <w:sz w:val="22"/>
        </w:rPr>
        <w:t>Zidentyfikowanie osoby (ustalenie jej nazwiska) na podstawie adresu nieruchomości, której jest posiadaczem (jako że - zgodnie z art. 83 ust. 1 pkt 1 ustawy o ochronie przyrody - zezwolenie na usunięcie drzewa wydawane jest na wniosek posiadacza nieruchomości) wymagałoby zasięgnięcia informacji z ewidencji ludności prowadzonej na podstawie u</w:t>
      </w:r>
      <w:r w:rsidRPr="006B1749">
        <w:rPr>
          <w:rFonts w:asciiTheme="minorHAnsi" w:eastAsia="Calibri" w:hAnsiTheme="minorHAnsi"/>
          <w:sz w:val="22"/>
        </w:rPr>
        <w:t>stawy o ewidencji ludności i dowodach osobistych</w:t>
      </w:r>
      <w:r w:rsidRPr="006B1749">
        <w:rPr>
          <w:rStyle w:val="Odwoanieprzypisudolnego"/>
          <w:rFonts w:asciiTheme="minorHAnsi" w:hAnsiTheme="minorHAnsi"/>
          <w:sz w:val="22"/>
        </w:rPr>
        <w:footnoteReference w:id="4"/>
      </w:r>
      <w:r w:rsidRPr="006B1749">
        <w:rPr>
          <w:rFonts w:asciiTheme="minorHAnsi" w:eastAsia="Calibri" w:hAnsiTheme="minorHAnsi"/>
          <w:sz w:val="22"/>
        </w:rPr>
        <w:t>.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eastAsia="Calibri" w:hAnsiTheme="minorHAnsi"/>
          <w:sz w:val="22"/>
        </w:rPr>
        <w:t xml:space="preserve">Zgodnie z art. 44g i 44h tej </w:t>
      </w:r>
      <w:r w:rsidRPr="006B1749">
        <w:rPr>
          <w:rFonts w:asciiTheme="minorHAnsi" w:hAnsiTheme="minorHAnsi"/>
          <w:sz w:val="22"/>
        </w:rPr>
        <w:t>u</w:t>
      </w:r>
      <w:r w:rsidRPr="006B1749">
        <w:rPr>
          <w:rFonts w:asciiTheme="minorHAnsi" w:eastAsia="Calibri" w:hAnsiTheme="minorHAnsi"/>
          <w:sz w:val="22"/>
        </w:rPr>
        <w:t>stawy „d</w:t>
      </w:r>
      <w:r w:rsidRPr="006B1749">
        <w:rPr>
          <w:rFonts w:asciiTheme="minorHAnsi" w:hAnsiTheme="minorHAnsi"/>
          <w:sz w:val="22"/>
        </w:rPr>
        <w:t>ane ze zbiorów meldunkowych, zbioru PESEL oraz ewidencji wydanych i unieważnionych dowodów osobistych” udostępnia się tylko określonym podmiotom i osobom, a mianowicie: osobie, której dane dotyczą, określonym organom państwowym, a innym osobom tylko wówczas gdy wykażą swój interes prawny w uzyskaniu takich danych - albo wprawdzie tylko interes faktyczny, ale wówczas musza także posiadać zgodę osoby, której dotyczą dane.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Wynika z tego, że przekazanie samego adresu nieruchomości nie pozwala na zidentyfikowanie jej posiadacza.</w:t>
      </w:r>
    </w:p>
    <w:p w:rsidR="00944B53" w:rsidRPr="006B1749" w:rsidRDefault="00944B53" w:rsidP="00944B53">
      <w:pPr>
        <w:spacing w:line="276" w:lineRule="auto"/>
        <w:rPr>
          <w:rFonts w:asciiTheme="minorHAnsi" w:eastAsia="Calibri" w:hAnsiTheme="minorHAnsi"/>
          <w:sz w:val="22"/>
        </w:rPr>
      </w:pPr>
      <w:r w:rsidRPr="006B1749">
        <w:rPr>
          <w:rFonts w:asciiTheme="minorHAnsi" w:eastAsia="Calibri" w:hAnsiTheme="minorHAnsi"/>
          <w:sz w:val="22"/>
        </w:rPr>
        <w:t>Przy tym nawet dane z ewidencji ludności nie dostarczą danych o posiadaczu nieruchomości, który nie mieszka na danej nieruchomości (nie jest tam zameldowany).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Należy zatem uznać, że udostępnienie samego adresu nieruchomości, z której ma być usunięte drzewo nie będzie stanowiło naruszenia przepisów o ochronie danych osobowych - a więc adres taki powinien być udostępniany (żaden z przewidzianych w ustawie ooś wyjątków go nie dotyczy, więc nie ma podstawy prawnej do utajnienia tej informacji).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 xml:space="preserve">W przypadku natomiast udostępnienia kopii decyzji z podanym numerem ewidencyjnym działki, z której usuwane jest drzewo, należy zauważyć, że możliwość zidentyfikowania konkretnej osoby na tej podstawie także nie jest dostępna dla każdego. 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Zgodnie z art. 24 ust. 5 Prawa geodezyjnego i kartograficznego</w:t>
      </w:r>
      <w:r w:rsidRPr="006B1749">
        <w:rPr>
          <w:rStyle w:val="Odwoanieprzypisudolnego"/>
          <w:rFonts w:asciiTheme="minorHAnsi" w:hAnsiTheme="minorHAnsi"/>
          <w:sz w:val="22"/>
        </w:rPr>
        <w:footnoteReference w:id="5"/>
      </w:r>
      <w:r w:rsidRPr="006B1749">
        <w:rPr>
          <w:rFonts w:asciiTheme="minorHAnsi" w:hAnsiTheme="minorHAnsi"/>
          <w:sz w:val="22"/>
        </w:rPr>
        <w:t xml:space="preserve"> dostęp do zawartych w ewidencji informacji o właścicielach konkretnych nieruchomości jest ograniczony. Zgodnie z tym przepisem dane właścicieli nieruchomości udostępniane są tylko samym tym właścicielom, a ponadto organom administracji publicznej oraz podmiotom realizującym zadania publiczne związane z daną nieruchomością, a innym osobom - tylko wówczas, gdy wykażą w sprawie swój interes prawny. Starosta (prowadzący ewidencję gruntów i budynków) nie może więc udostępniać danych właściciela </w:t>
      </w:r>
      <w:r w:rsidRPr="006B1749">
        <w:rPr>
          <w:rFonts w:asciiTheme="minorHAnsi" w:hAnsiTheme="minorHAnsi"/>
          <w:sz w:val="22"/>
        </w:rPr>
        <w:lastRenderedPageBreak/>
        <w:t>nieruchomości każdemu zainteresowanemu lecz jest zobowiązany do przestrzegania przepisów o ochronie danych osobowych (tak też: W. Wiewiórowski, GIODO wyjaśnia: Udostępnianie danych z ewidencji a dane osobowe, w: Wspólnota nr 5, 29.01.2011 r.)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W konsekwencji więc, możliwość zidentyfikowania konkretnej osoby fizycznej na podstawie numeru ewidencyjnego działki, której osoba ta jest właścicielem nie jest powszechnie dostępna.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W związku z tym należy uznać, że udostępnienie adresu lub numeru działki, z której ma być usunięte drzewo nie będzie stanowiło naruszenia przepisów o ochronie danych osobowych jako że określenie tożsamości danej osoby na tej podstawie</w:t>
      </w:r>
      <w:r w:rsidRPr="006B1749">
        <w:rPr>
          <w:rFonts w:asciiTheme="minorHAnsi" w:hAnsiTheme="minorHAnsi"/>
          <w:b/>
          <w:sz w:val="22"/>
        </w:rPr>
        <w:t xml:space="preserve"> </w:t>
      </w:r>
      <w:r w:rsidRPr="006B1749">
        <w:rPr>
          <w:rFonts w:asciiTheme="minorHAnsi" w:hAnsiTheme="minorHAnsi"/>
          <w:sz w:val="22"/>
        </w:rPr>
        <w:t>„wymagałoby nadmiernych kosztów, czasu lub działań”.</w:t>
      </w:r>
    </w:p>
    <w:p w:rsidR="00944B53" w:rsidRPr="006B1749" w:rsidRDefault="00944B53" w:rsidP="00944B53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W konsekwencji</w:t>
      </w:r>
      <w:r w:rsidR="00362BDD" w:rsidRPr="006B1749">
        <w:rPr>
          <w:rFonts w:asciiTheme="minorHAnsi" w:hAnsiTheme="minorHAnsi"/>
          <w:sz w:val="22"/>
        </w:rPr>
        <w:t>,</w:t>
      </w:r>
      <w:r w:rsidRPr="006B1749">
        <w:rPr>
          <w:rFonts w:asciiTheme="minorHAnsi" w:hAnsiTheme="minorHAnsi"/>
          <w:sz w:val="22"/>
        </w:rPr>
        <w:t xml:space="preserve"> więc taki adres lub numer powinny być udostępnione - żaden z przewidzianych w ustawie ooś wyjątków ich nie dotyczy, więc nie </w:t>
      </w:r>
      <w:r w:rsidRPr="006B1749">
        <w:rPr>
          <w:rFonts w:asciiTheme="minorHAnsi" w:hAnsiTheme="minorHAnsi"/>
          <w:b/>
          <w:sz w:val="22"/>
        </w:rPr>
        <w:t>ma podstawy prawnej do utajnienia tych informacji</w:t>
      </w:r>
      <w:r w:rsidRPr="006B1749">
        <w:rPr>
          <w:rFonts w:asciiTheme="minorHAnsi" w:hAnsiTheme="minorHAnsi"/>
          <w:sz w:val="22"/>
        </w:rPr>
        <w:t xml:space="preserve"> (zob. M. Bar, opinia dotycząca wybranych problemów dotyczących udostępniania informacji o środowisku, sporządzona dnia 6 września 2014 r., (w:) Strażnicy natury. Społeczny monitoring dostępu do informacji o środowisku, F</w:t>
      </w:r>
      <w:r w:rsidR="00E32957" w:rsidRPr="006B1749">
        <w:rPr>
          <w:rFonts w:asciiTheme="minorHAnsi" w:hAnsiTheme="minorHAnsi"/>
          <w:sz w:val="22"/>
        </w:rPr>
        <w:t xml:space="preserve">undacja </w:t>
      </w:r>
      <w:proofErr w:type="spellStart"/>
      <w:r w:rsidR="00E32957" w:rsidRPr="006B1749">
        <w:rPr>
          <w:rFonts w:asciiTheme="minorHAnsi" w:hAnsiTheme="minorHAnsi"/>
          <w:sz w:val="22"/>
        </w:rPr>
        <w:t>EkoRozwoju</w:t>
      </w:r>
      <w:proofErr w:type="spellEnd"/>
      <w:r w:rsidRPr="006B1749">
        <w:rPr>
          <w:rFonts w:asciiTheme="minorHAnsi" w:hAnsiTheme="minorHAnsi"/>
          <w:sz w:val="22"/>
        </w:rPr>
        <w:t>, Wrocław 2014).</w:t>
      </w:r>
    </w:p>
    <w:p w:rsidR="008B4353" w:rsidRPr="006B1749" w:rsidRDefault="008B4353" w:rsidP="00B54D6C">
      <w:pPr>
        <w:spacing w:line="276" w:lineRule="auto"/>
        <w:rPr>
          <w:rFonts w:asciiTheme="minorHAnsi" w:hAnsiTheme="minorHAnsi"/>
          <w:sz w:val="22"/>
        </w:rPr>
      </w:pPr>
    </w:p>
    <w:p w:rsidR="008B4353" w:rsidRPr="006B1749" w:rsidRDefault="008B4353" w:rsidP="00B54D6C">
      <w:pPr>
        <w:spacing w:line="276" w:lineRule="auto"/>
        <w:rPr>
          <w:rFonts w:asciiTheme="minorHAnsi" w:hAnsiTheme="minorHAnsi"/>
          <w:sz w:val="22"/>
        </w:rPr>
      </w:pPr>
    </w:p>
    <w:p w:rsidR="008B4353" w:rsidRPr="006B1749" w:rsidRDefault="00D00065" w:rsidP="00B54D6C">
      <w:pPr>
        <w:spacing w:line="276" w:lineRule="auto"/>
        <w:rPr>
          <w:rFonts w:asciiTheme="minorHAnsi" w:hAnsiTheme="minorHAnsi"/>
          <w:b/>
          <w:sz w:val="22"/>
        </w:rPr>
      </w:pPr>
      <w:r w:rsidRPr="006B1749">
        <w:rPr>
          <w:rFonts w:asciiTheme="minorHAnsi" w:hAnsiTheme="minorHAnsi"/>
          <w:b/>
          <w:sz w:val="22"/>
        </w:rPr>
        <w:t>Ewentualna odmowa</w:t>
      </w:r>
    </w:p>
    <w:p w:rsidR="008B4353" w:rsidRPr="006B1749" w:rsidRDefault="008B4353" w:rsidP="00B54D6C">
      <w:pPr>
        <w:spacing w:line="276" w:lineRule="auto"/>
        <w:rPr>
          <w:rFonts w:asciiTheme="minorHAnsi" w:hAnsiTheme="minorHAnsi"/>
          <w:sz w:val="22"/>
        </w:rPr>
      </w:pPr>
    </w:p>
    <w:p w:rsidR="008B4353" w:rsidRPr="006B1749" w:rsidRDefault="008B4353" w:rsidP="00B54D6C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Dodatkowo przypominamy, że ewentualna odmowa udostępnienia żądanych informacji lub ich części może nastąpić tylko w drodze decyzji administracyjnej (art. 20 ust. 1 ustawy ooś), od której przysługuje droga odwoławcza przewidziana w przepisach o postępowaniu administracyjnym i sądowo</w:t>
      </w:r>
      <w:r w:rsidR="006B1552" w:rsidRPr="006B1749">
        <w:rPr>
          <w:rFonts w:asciiTheme="minorHAnsi" w:hAnsiTheme="minorHAnsi"/>
          <w:sz w:val="22"/>
        </w:rPr>
        <w:t xml:space="preserve"> </w:t>
      </w:r>
      <w:r w:rsidRPr="006B1749">
        <w:rPr>
          <w:rFonts w:asciiTheme="minorHAnsi" w:hAnsiTheme="minorHAnsi"/>
          <w:sz w:val="22"/>
        </w:rPr>
        <w:t>administracyjnym.</w:t>
      </w:r>
    </w:p>
    <w:p w:rsidR="008B4353" w:rsidRPr="006B1749" w:rsidRDefault="008B4353" w:rsidP="00B54D6C">
      <w:pPr>
        <w:spacing w:line="276" w:lineRule="auto"/>
        <w:rPr>
          <w:rFonts w:asciiTheme="minorHAnsi" w:hAnsiTheme="minorHAnsi"/>
          <w:sz w:val="22"/>
        </w:rPr>
      </w:pPr>
      <w:r w:rsidRPr="006B1749">
        <w:rPr>
          <w:rFonts w:asciiTheme="minorHAnsi" w:hAnsiTheme="minorHAnsi"/>
          <w:sz w:val="22"/>
        </w:rPr>
        <w:t>Odmowa taka może nastąpić tylko w ściśle określonych przypadkach - wymienionych w art. 16 i 17 ustawy ooś i musi być rzetelnie uzasadniona.</w:t>
      </w:r>
    </w:p>
    <w:p w:rsidR="008B4353" w:rsidRDefault="008B4353" w:rsidP="00B54D6C">
      <w:pPr>
        <w:spacing w:line="276" w:lineRule="auto"/>
        <w:rPr>
          <w:rFonts w:asciiTheme="minorHAnsi" w:hAnsiTheme="minorHAnsi"/>
          <w:sz w:val="22"/>
        </w:rPr>
      </w:pPr>
    </w:p>
    <w:p w:rsidR="00334E92" w:rsidRDefault="00334E92" w:rsidP="00B54D6C">
      <w:pPr>
        <w:spacing w:line="276" w:lineRule="auto"/>
        <w:rPr>
          <w:rFonts w:asciiTheme="minorHAnsi" w:hAnsiTheme="minorHAnsi"/>
          <w:sz w:val="22"/>
        </w:rPr>
      </w:pPr>
    </w:p>
    <w:p w:rsidR="00334E92" w:rsidRDefault="00334E92" w:rsidP="00B54D6C">
      <w:pPr>
        <w:spacing w:line="276" w:lineRule="auto"/>
        <w:rPr>
          <w:rFonts w:asciiTheme="minorHAnsi" w:hAnsiTheme="minorHAnsi"/>
          <w:sz w:val="22"/>
        </w:rPr>
      </w:pPr>
    </w:p>
    <w:p w:rsidR="00334E92" w:rsidRPr="006B1749" w:rsidRDefault="00334E92" w:rsidP="00B54D6C">
      <w:pPr>
        <w:spacing w:line="276" w:lineRule="auto"/>
        <w:rPr>
          <w:rFonts w:asciiTheme="minorHAnsi" w:hAnsiTheme="minorHAnsi"/>
          <w:sz w:val="22"/>
        </w:rPr>
      </w:pPr>
    </w:p>
    <w:p w:rsidR="00340663" w:rsidRPr="00334E92" w:rsidRDefault="00334E92" w:rsidP="00340663">
      <w:pPr>
        <w:rPr>
          <w:rFonts w:ascii="Garamond" w:hAnsi="Garamond"/>
          <w:i/>
          <w:sz w:val="22"/>
        </w:rPr>
      </w:pPr>
      <w:r w:rsidRPr="00334E92">
        <w:rPr>
          <w:rFonts w:ascii="Garamond" w:hAnsi="Garamond"/>
          <w:i/>
          <w:sz w:val="22"/>
        </w:rPr>
        <w:t>Podpis składającego wniosek</w:t>
      </w:r>
    </w:p>
    <w:p w:rsidR="00340663" w:rsidRPr="006B1749" w:rsidRDefault="00340663" w:rsidP="00340663">
      <w:pPr>
        <w:rPr>
          <w:rFonts w:asciiTheme="minorHAnsi" w:hAnsiTheme="minorHAnsi"/>
          <w:sz w:val="22"/>
        </w:rPr>
      </w:pPr>
    </w:p>
    <w:p w:rsidR="006B1749" w:rsidRPr="006B1749" w:rsidRDefault="006B1749">
      <w:pPr>
        <w:rPr>
          <w:rFonts w:asciiTheme="minorHAnsi" w:hAnsiTheme="minorHAnsi"/>
          <w:sz w:val="22"/>
        </w:rPr>
      </w:pPr>
    </w:p>
    <w:sectPr w:rsidR="006B1749" w:rsidRPr="006B1749" w:rsidSect="008B4353">
      <w:footerReference w:type="default" r:id="rId8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A1" w:rsidRDefault="00B504A1" w:rsidP="008B4353">
      <w:r>
        <w:separator/>
      </w:r>
    </w:p>
  </w:endnote>
  <w:endnote w:type="continuationSeparator" w:id="0">
    <w:p w:rsidR="00B504A1" w:rsidRDefault="00B504A1" w:rsidP="008B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115509"/>
      <w:docPartObj>
        <w:docPartGallery w:val="Page Numbers (Bottom of Page)"/>
        <w:docPartUnique/>
      </w:docPartObj>
    </w:sdtPr>
    <w:sdtContent>
      <w:p w:rsidR="00B504A1" w:rsidRDefault="0053149F">
        <w:pPr>
          <w:pStyle w:val="Stopka"/>
          <w:jc w:val="center"/>
        </w:pPr>
        <w:fldSimple w:instr="PAGE   \* MERGEFORMAT">
          <w:r w:rsidR="00746546">
            <w:rPr>
              <w:noProof/>
            </w:rPr>
            <w:t>1</w:t>
          </w:r>
        </w:fldSimple>
      </w:p>
    </w:sdtContent>
  </w:sdt>
  <w:p w:rsidR="00B504A1" w:rsidRDefault="00B504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A1" w:rsidRDefault="00B504A1" w:rsidP="008B4353">
      <w:r>
        <w:separator/>
      </w:r>
    </w:p>
  </w:footnote>
  <w:footnote w:type="continuationSeparator" w:id="0">
    <w:p w:rsidR="00B504A1" w:rsidRDefault="00B504A1" w:rsidP="008B4353">
      <w:r>
        <w:continuationSeparator/>
      </w:r>
    </w:p>
  </w:footnote>
  <w:footnote w:id="1">
    <w:p w:rsidR="00B504A1" w:rsidRDefault="00B504A1" w:rsidP="005F38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344E">
        <w:rPr>
          <w:rFonts w:eastAsia="Times New Roman"/>
          <w:sz w:val="19"/>
          <w:szCs w:val="19"/>
        </w:rPr>
        <w:t>D</w:t>
      </w:r>
      <w:r>
        <w:rPr>
          <w:rFonts w:eastAsia="Times New Roman"/>
          <w:sz w:val="19"/>
          <w:szCs w:val="19"/>
        </w:rPr>
        <w:t>yrektywa</w:t>
      </w:r>
      <w:r w:rsidRPr="00B6344E">
        <w:rPr>
          <w:rFonts w:eastAsia="Times New Roman"/>
          <w:sz w:val="19"/>
          <w:szCs w:val="19"/>
        </w:rPr>
        <w:t xml:space="preserve"> 2003/4/WE Parlamentu Europejskiego </w:t>
      </w:r>
      <w:r>
        <w:rPr>
          <w:rFonts w:eastAsia="Times New Roman"/>
          <w:sz w:val="19"/>
          <w:szCs w:val="19"/>
        </w:rPr>
        <w:t>i</w:t>
      </w:r>
      <w:r w:rsidRPr="00B6344E">
        <w:rPr>
          <w:rFonts w:eastAsia="Times New Roman"/>
          <w:sz w:val="19"/>
          <w:szCs w:val="19"/>
        </w:rPr>
        <w:t xml:space="preserve"> Rady</w:t>
      </w:r>
      <w:r>
        <w:rPr>
          <w:rFonts w:eastAsia="Times New Roman"/>
          <w:sz w:val="19"/>
          <w:szCs w:val="19"/>
        </w:rPr>
        <w:t xml:space="preserve"> </w:t>
      </w:r>
      <w:r w:rsidRPr="00B6344E">
        <w:rPr>
          <w:rFonts w:eastAsia="Times New Roman"/>
          <w:sz w:val="19"/>
          <w:szCs w:val="19"/>
        </w:rPr>
        <w:t>z dnia 28 stycznia 2003 r.</w:t>
      </w:r>
      <w:r>
        <w:rPr>
          <w:rFonts w:eastAsia="Times New Roman"/>
          <w:sz w:val="19"/>
          <w:szCs w:val="19"/>
        </w:rPr>
        <w:t xml:space="preserve"> w sprawie </w:t>
      </w:r>
      <w:r w:rsidRPr="00B6344E">
        <w:rPr>
          <w:rFonts w:eastAsia="Times New Roman"/>
          <w:sz w:val="19"/>
          <w:szCs w:val="19"/>
        </w:rPr>
        <w:t>publicznego dostępu do informacji dotyczących środowiska i uchylająca dyrektywę Rady</w:t>
      </w:r>
      <w:r>
        <w:rPr>
          <w:rFonts w:eastAsia="Times New Roman"/>
          <w:sz w:val="19"/>
          <w:szCs w:val="19"/>
        </w:rPr>
        <w:t xml:space="preserve"> </w:t>
      </w:r>
      <w:r w:rsidRPr="00B6344E">
        <w:rPr>
          <w:rFonts w:eastAsia="Times New Roman"/>
          <w:sz w:val="19"/>
          <w:szCs w:val="19"/>
        </w:rPr>
        <w:t>90/313/EWG</w:t>
      </w:r>
      <w:r>
        <w:rPr>
          <w:rFonts w:eastAsia="Times New Roman"/>
          <w:sz w:val="19"/>
          <w:szCs w:val="19"/>
        </w:rPr>
        <w:t xml:space="preserve"> </w:t>
      </w:r>
      <w:r>
        <w:rPr>
          <w:sz w:val="20"/>
          <w:szCs w:val="20"/>
        </w:rPr>
        <w:t>(Dz. Urz. UE L 41</w:t>
      </w:r>
      <w:r w:rsidRPr="002459B3">
        <w:rPr>
          <w:sz w:val="20"/>
          <w:szCs w:val="20"/>
        </w:rPr>
        <w:t xml:space="preserve"> z </w:t>
      </w:r>
      <w:r>
        <w:rPr>
          <w:sz w:val="20"/>
          <w:szCs w:val="20"/>
        </w:rPr>
        <w:t>14.2.2003</w:t>
      </w:r>
      <w:r w:rsidRPr="00611DB8">
        <w:rPr>
          <w:sz w:val="20"/>
          <w:szCs w:val="20"/>
        </w:rPr>
        <w:t>)</w:t>
      </w:r>
    </w:p>
  </w:footnote>
  <w:footnote w:id="2">
    <w:p w:rsidR="00B504A1" w:rsidRDefault="00B504A1" w:rsidP="005F38B4">
      <w:pPr>
        <w:pStyle w:val="Tekstprzypisudolnego"/>
      </w:pPr>
      <w:r w:rsidRPr="002D41DC">
        <w:rPr>
          <w:rStyle w:val="Odwoanieprzypisudolnego"/>
          <w:sz w:val="20"/>
          <w:szCs w:val="20"/>
        </w:rPr>
        <w:footnoteRef/>
      </w:r>
      <w:r w:rsidRPr="002D41DC">
        <w:rPr>
          <w:sz w:val="20"/>
          <w:szCs w:val="20"/>
        </w:rPr>
        <w:t xml:space="preserve"> Konwencja sporządzona w Aarhus dnia 25 czerwca 1998 r. o dostępie do informacji, </w:t>
      </w:r>
      <w:r w:rsidRPr="0094738D">
        <w:rPr>
          <w:sz w:val="20"/>
          <w:szCs w:val="20"/>
        </w:rPr>
        <w:t>udziale społeczeństwa w podejmowaniu decyzji oraz dostępie do sprawiedliwości w sprawach dotyczących środowiska (Dz. U. z 2003 r. Nr 78, poz. 706)</w:t>
      </w:r>
    </w:p>
  </w:footnote>
  <w:footnote w:id="3">
    <w:p w:rsidR="00B504A1" w:rsidRPr="00CC47E3" w:rsidRDefault="00B504A1" w:rsidP="00944B53">
      <w:pPr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71C05">
        <w:rPr>
          <w:rFonts w:eastAsia="Calibri"/>
          <w:sz w:val="20"/>
          <w:szCs w:val="20"/>
        </w:rPr>
        <w:t>Ustawa z dnia 29 sierpnia 1997 r. o ochronie danych osobowych (tekst jedn.: Dz. U. z 2002 r. Nr 101, poz. 926 ze zm.)</w:t>
      </w:r>
    </w:p>
  </w:footnote>
  <w:footnote w:id="4">
    <w:p w:rsidR="00B504A1" w:rsidRDefault="00B504A1" w:rsidP="00944B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4722">
        <w:rPr>
          <w:sz w:val="20"/>
          <w:szCs w:val="20"/>
        </w:rPr>
        <w:t>Ustawa z dnia 10 kwietnia 1974 r. o ewidencji ludności i dowodach osobistych (Dz. U. z 2006 r. Nr 139, poz. 993 ze zm.)</w:t>
      </w:r>
    </w:p>
  </w:footnote>
  <w:footnote w:id="5">
    <w:p w:rsidR="00B504A1" w:rsidRPr="00950C1E" w:rsidRDefault="00B504A1" w:rsidP="00944B53">
      <w:pPr>
        <w:pStyle w:val="Tekstprzypisudolnego"/>
        <w:rPr>
          <w:sz w:val="20"/>
          <w:szCs w:val="20"/>
        </w:rPr>
      </w:pPr>
      <w:r w:rsidRPr="00950C1E">
        <w:rPr>
          <w:rStyle w:val="Odwoanieprzypisudolnego"/>
          <w:sz w:val="20"/>
          <w:szCs w:val="20"/>
        </w:rPr>
        <w:footnoteRef/>
      </w:r>
      <w:r w:rsidRPr="00950C1E">
        <w:rPr>
          <w:sz w:val="20"/>
          <w:szCs w:val="20"/>
        </w:rPr>
        <w:t xml:space="preserve"> Ustawa z dnia 17 maja 1989 r. Prawo geodezyjne i kartograficzne (tekst jedn.: Dz. U. z 2010 r. Nr 193, poz. 1287 ze zm.)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E58"/>
    <w:multiLevelType w:val="hybridMultilevel"/>
    <w:tmpl w:val="4FC4AB32"/>
    <w:lvl w:ilvl="0" w:tplc="695C45D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CC3"/>
    <w:multiLevelType w:val="hybridMultilevel"/>
    <w:tmpl w:val="FF3A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33F9"/>
    <w:multiLevelType w:val="hybridMultilevel"/>
    <w:tmpl w:val="BCB4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37559694"/>
  </wne:recipientData>
  <wne:recipientData>
    <wne:active wne:val="1"/>
    <wne:hash wne:val="999146251"/>
  </wne:recipientData>
  <wne:recipientData>
    <wne:active wne:val="1"/>
    <wne:hash wne:val="-1115597997"/>
  </wne:recipientData>
  <wne:recipientData>
    <wne:active wne:val="1"/>
    <wne:hash wne:val="1832474289"/>
  </wne:recipientData>
  <wne:recipientData>
    <wne:active wne:val="1"/>
    <wne:hash wne:val="1790361595"/>
  </wne:recipientData>
  <wne:recipientData>
    <wne:active wne:val="1"/>
    <wne:hash wne:val="-70333518"/>
  </wne:recipientData>
  <wne:recipientData>
    <wne:active wne:val="1"/>
    <wne:hash wne:val="1222271061"/>
  </wne:recipientData>
  <wne:recipientData>
    <wne:active wne:val="1"/>
    <wne:hash wne:val="-122764590"/>
  </wne:recipientData>
  <wne:recipientData>
    <wne:active wne:val="1"/>
    <wne:hash wne:val="1344408679"/>
  </wne:recipientData>
  <wne:recipientData>
    <wne:active wne:val="1"/>
    <wne:hash wne:val="-461130887"/>
  </wne:recipientData>
  <wne:recipientData>
    <wne:active wne:val="1"/>
    <wne:hash wne:val="-1786049974"/>
  </wne:recipientData>
  <wne:recipientData>
    <wne:active wne:val="1"/>
    <wne:hash wne:val="1458873503"/>
  </wne:recipientData>
  <wne:recipientData>
    <wne:active wne:val="1"/>
    <wne:hash wne:val="-2080562451"/>
  </wne:recipientData>
  <wne:recipientData>
    <wne:active wne:val="1"/>
    <wne:hash wne:val="-1282387499"/>
  </wne:recipientData>
  <wne:recipientData>
    <wne:active wne:val="1"/>
    <wne:hash wne:val="664184010"/>
  </wne:recipientData>
  <wne:recipientData>
    <wne:active wne:val="1"/>
    <wne:hash wne:val="1838916321"/>
  </wne:recipientData>
  <wne:recipientData>
    <wne:active wne:val="1"/>
    <wne:hash wne:val="-391332038"/>
  </wne:recipientData>
  <wne:recipientData>
    <wne:active wne:val="1"/>
    <wne:hash wne:val="-1854175728"/>
  </wne:recipientData>
  <wne:recipientData>
    <wne:active wne:val="1"/>
    <wne:hash wne:val="-12160996"/>
  </wne:recipientData>
  <wne:recipientData>
    <wne:active wne:val="1"/>
    <wne:hash wne:val="-714721636"/>
  </wne:recipientData>
  <wne:recipientData>
    <wne:active wne:val="1"/>
    <wne:hash wne:val="1585668035"/>
  </wne:recipientData>
  <wne:recipientData>
    <wne:active wne:val="1"/>
    <wne:hash wne:val="-1318911998"/>
  </wne:recipientData>
  <wne:recipientData>
    <wne:active wne:val="1"/>
    <wne:hash wne:val="2118805993"/>
  </wne:recipientData>
  <wne:recipientData>
    <wne:active wne:val="1"/>
    <wne:hash wne:val="-1123001028"/>
  </wne:recipientData>
  <wne:recipientData>
    <wne:active wne:val="1"/>
    <wne:hash wne:val="932997656"/>
  </wne:recipientData>
  <wne:recipientData>
    <wne:active wne:val="1"/>
    <wne:hash wne:val="449096515"/>
  </wne:recipientData>
  <wne:recipientData>
    <wne:active wne:val="1"/>
    <wne:hash wne:val="-1195669923"/>
  </wne:recipientData>
  <wne:recipientData>
    <wne:active wne:val="1"/>
    <wne:hash wne:val="-1574150600"/>
  </wne:recipientData>
  <wne:recipientData>
    <wne:active wne:val="1"/>
    <wne:hash wne:val="127923444"/>
  </wne:recipientData>
  <wne:recipientData>
    <wne:active wne:val="1"/>
    <wne:hash wne:val="-981524691"/>
  </wne:recipientData>
  <wne:recipientData>
    <wne:active wne:val="1"/>
    <wne:hash wne:val="986686089"/>
  </wne:recipientData>
  <wne:recipientData>
    <wne:active wne:val="1"/>
    <wne:hash wne:val="1217294388"/>
  </wne:recipientData>
  <wne:recipientData>
    <wne:active wne:val="1"/>
    <wne:hash wne:val="1171604392"/>
  </wne:recipientData>
  <wne:recipientData>
    <wne:active wne:val="1"/>
    <wne:hash wne:val="740329623"/>
  </wne:recipientData>
  <wne:recipientData>
    <wne:active wne:val="1"/>
    <wne:hash wne:val="2034905959"/>
  </wne:recipientData>
  <wne:recipientData>
    <wne:active wne:val="1"/>
    <wne:hash wne:val="-870950931"/>
  </wne:recipientData>
  <wne:recipientData>
    <wne:active wne:val="1"/>
    <wne:hash wne:val="125902427"/>
  </wne:recipientData>
  <wne:recipientData>
    <wne:active wne:val="1"/>
    <wne:hash wne:val="177052011"/>
  </wne:recipientData>
  <wne:recipientData>
    <wne:active wne:val="1"/>
    <wne:hash wne:val="-1179429745"/>
  </wne:recipientData>
  <wne:recipientData>
    <wne:active wne:val="1"/>
    <wne:hash wne:val="-1698256517"/>
  </wne:recipientData>
  <wne:recipientData>
    <wne:active wne:val="1"/>
    <wne:hash wne:val="1168119158"/>
  </wne:recipientData>
  <wne:recipientData>
    <wne:active wne:val="1"/>
    <wne:hash wne:val="139119384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ewelina\Desktop\staż\Do wysłania wniosków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activeRecord w:val="14"/>
    <w:odso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1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663"/>
    <w:rsid w:val="00016425"/>
    <w:rsid w:val="00065C3D"/>
    <w:rsid w:val="0007003A"/>
    <w:rsid w:val="00093DF6"/>
    <w:rsid w:val="00126F2A"/>
    <w:rsid w:val="00156B23"/>
    <w:rsid w:val="001D2D9D"/>
    <w:rsid w:val="00217998"/>
    <w:rsid w:val="00230E5F"/>
    <w:rsid w:val="00240318"/>
    <w:rsid w:val="00242553"/>
    <w:rsid w:val="00316E18"/>
    <w:rsid w:val="00334E92"/>
    <w:rsid w:val="00340663"/>
    <w:rsid w:val="00362BDD"/>
    <w:rsid w:val="00381C83"/>
    <w:rsid w:val="003A3AAA"/>
    <w:rsid w:val="00405078"/>
    <w:rsid w:val="0041220B"/>
    <w:rsid w:val="004D6872"/>
    <w:rsid w:val="0053149F"/>
    <w:rsid w:val="00560AA7"/>
    <w:rsid w:val="005E5A5B"/>
    <w:rsid w:val="005F38B4"/>
    <w:rsid w:val="006126C1"/>
    <w:rsid w:val="00637A42"/>
    <w:rsid w:val="006552C0"/>
    <w:rsid w:val="00662DD4"/>
    <w:rsid w:val="006872FE"/>
    <w:rsid w:val="006B1552"/>
    <w:rsid w:val="006B1749"/>
    <w:rsid w:val="006C620E"/>
    <w:rsid w:val="006C6B5F"/>
    <w:rsid w:val="00746546"/>
    <w:rsid w:val="007E7883"/>
    <w:rsid w:val="00852948"/>
    <w:rsid w:val="008B2EE5"/>
    <w:rsid w:val="008B4353"/>
    <w:rsid w:val="008B52A1"/>
    <w:rsid w:val="008F7876"/>
    <w:rsid w:val="00941451"/>
    <w:rsid w:val="00944B53"/>
    <w:rsid w:val="00A64122"/>
    <w:rsid w:val="00B4197C"/>
    <w:rsid w:val="00B504A1"/>
    <w:rsid w:val="00B54D6C"/>
    <w:rsid w:val="00BB04D6"/>
    <w:rsid w:val="00C423D0"/>
    <w:rsid w:val="00C6052F"/>
    <w:rsid w:val="00CD263D"/>
    <w:rsid w:val="00D00065"/>
    <w:rsid w:val="00D21D70"/>
    <w:rsid w:val="00D40BD5"/>
    <w:rsid w:val="00D9430C"/>
    <w:rsid w:val="00E20320"/>
    <w:rsid w:val="00E32957"/>
    <w:rsid w:val="00E87CDD"/>
    <w:rsid w:val="00E95F2F"/>
    <w:rsid w:val="00EA47EF"/>
    <w:rsid w:val="00FB4418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95F2F"/>
    <w:pPr>
      <w:jc w:val="left"/>
    </w:pPr>
    <w:rPr>
      <w:rFonts w:eastAsia="Calibr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F2F"/>
    <w:rPr>
      <w:rFonts w:ascii="Times New Roman" w:eastAsia="Calibri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F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F2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F2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4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35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B4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353"/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5F38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72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799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9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5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95F2F"/>
    <w:pPr>
      <w:jc w:val="left"/>
    </w:pPr>
    <w:rPr>
      <w:rFonts w:eastAsia="Calibr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F2F"/>
    <w:rPr>
      <w:rFonts w:ascii="Times New Roman" w:eastAsia="Calibri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F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F2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F2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4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35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B4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353"/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5F38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72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799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7380-CD80-4E8F-A7DD-956279D8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Sabina</cp:lastModifiedBy>
  <cp:revision>9</cp:revision>
  <dcterms:created xsi:type="dcterms:W3CDTF">2015-05-04T21:20:00Z</dcterms:created>
  <dcterms:modified xsi:type="dcterms:W3CDTF">2015-11-06T13:28:00Z</dcterms:modified>
</cp:coreProperties>
</file>